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C904" w14:textId="63B259BF" w:rsidR="00E518E6" w:rsidRDefault="0049507D" w:rsidP="00913EEA">
      <w:pPr>
        <w:pStyle w:val="Title"/>
        <w:spacing w:after="240"/>
      </w:pPr>
      <w:r w:rsidRPr="0049507D">
        <w:t>Implementation of Ministerial Regulations Based on Attribution Power in the Administration of Government</w:t>
      </w:r>
    </w:p>
    <w:p w14:paraId="6AA7DC2D" w14:textId="46132A38" w:rsidR="007F7FAF" w:rsidRPr="007F7FAF" w:rsidRDefault="007F7FAF" w:rsidP="00913EEA">
      <w:pPr>
        <w:spacing w:after="240" w:line="240" w:lineRule="auto"/>
        <w:rPr>
          <w:b/>
          <w:bCs/>
          <w:sz w:val="24"/>
          <w:szCs w:val="24"/>
        </w:rPr>
      </w:pPr>
      <w:r w:rsidRPr="007F7FAF">
        <w:rPr>
          <w:b/>
          <w:bCs/>
          <w:sz w:val="24"/>
          <w:szCs w:val="24"/>
        </w:rPr>
        <w:t>M. Yasin A</w:t>
      </w:r>
      <w:r w:rsidR="002C32D8">
        <w:rPr>
          <w:b/>
          <w:bCs/>
          <w:sz w:val="24"/>
          <w:szCs w:val="24"/>
        </w:rPr>
        <w:t>l</w:t>
      </w:r>
      <w:r w:rsidRPr="007F7FAF">
        <w:rPr>
          <w:b/>
          <w:bCs/>
          <w:sz w:val="24"/>
          <w:szCs w:val="24"/>
        </w:rPr>
        <w:t xml:space="preserve"> Arif </w:t>
      </w:r>
    </w:p>
    <w:p w14:paraId="6D198687" w14:textId="4A7ABBC0" w:rsidR="00E518E6" w:rsidRPr="00913EEA" w:rsidRDefault="007F7FAF" w:rsidP="00913EEA">
      <w:pPr>
        <w:pBdr>
          <w:bottom w:val="single" w:sz="4" w:space="1" w:color="auto"/>
        </w:pBdr>
        <w:spacing w:after="240" w:line="240" w:lineRule="auto"/>
        <w:rPr>
          <w:b/>
          <w:bCs/>
          <w:i/>
          <w:sz w:val="20"/>
          <w:szCs w:val="20"/>
        </w:rPr>
      </w:pPr>
      <w:r w:rsidRPr="00913EEA">
        <w:rPr>
          <w:i/>
          <w:sz w:val="20"/>
          <w:szCs w:val="20"/>
          <w:highlight w:val="white"/>
        </w:rPr>
        <w:t xml:space="preserve">Fakultas Syariah UIN Raden Intan, </w:t>
      </w:r>
      <w:r w:rsidRPr="00913EEA">
        <w:rPr>
          <w:i/>
          <w:sz w:val="20"/>
          <w:szCs w:val="20"/>
        </w:rPr>
        <w:t>Bandar Lampung. E-mail: myasinalarif@radenintan.ac.id</w:t>
      </w:r>
    </w:p>
    <w:p w14:paraId="758EF1D6" w14:textId="77777777" w:rsidR="00E518E6" w:rsidRDefault="006E45B0">
      <w:pPr>
        <w:pStyle w:val="Heading1"/>
        <w:jc w:val="both"/>
        <w:rPr>
          <w:b w:val="0"/>
          <w:sz w:val="20"/>
          <w:szCs w:val="20"/>
        </w:rPr>
      </w:pPr>
      <w:r>
        <w:rPr>
          <w:i/>
          <w:sz w:val="20"/>
          <w:szCs w:val="20"/>
        </w:rPr>
        <w:t>ABSTRACT</w:t>
      </w:r>
    </w:p>
    <w:p w14:paraId="23787F56" w14:textId="0971D8A6" w:rsidR="000A2C7B" w:rsidRPr="007F12A1" w:rsidRDefault="00402CA4" w:rsidP="002C32D8">
      <w:pPr>
        <w:spacing w:line="240" w:lineRule="auto"/>
        <w:jc w:val="both"/>
        <w:rPr>
          <w:rFonts w:asciiTheme="majorHAnsi" w:hAnsiTheme="majorHAnsi" w:cstheme="majorHAnsi"/>
          <w:i/>
          <w:iCs/>
          <w:sz w:val="20"/>
          <w:szCs w:val="20"/>
        </w:rPr>
      </w:pPr>
      <w:r w:rsidRPr="007F12A1">
        <w:rPr>
          <w:rFonts w:asciiTheme="majorHAnsi" w:hAnsiTheme="majorHAnsi" w:cstheme="majorHAnsi"/>
          <w:i/>
          <w:iCs/>
          <w:sz w:val="20"/>
          <w:szCs w:val="20"/>
        </w:rPr>
        <w:t xml:space="preserve">This research aims to analyze the incompatibility of Ministerial regulations in the implementation of government which are formed based on attribution of power and intends to formulate a concept to prevent Ministerial regulations from resulting in regulatory obesity. The focus of this research is to answer the questions regarding the position of Ministerial regulations within the Indonesian legal system and how the incompatibility of Ministerial regulations based on attribution power affects the administration of government. This paper is </w:t>
      </w:r>
      <w:r w:rsidR="00913EEA" w:rsidRPr="007F12A1">
        <w:rPr>
          <w:rFonts w:asciiTheme="majorHAnsi" w:hAnsiTheme="majorHAnsi" w:cstheme="majorHAnsi"/>
          <w:i/>
          <w:iCs/>
          <w:sz w:val="20"/>
          <w:szCs w:val="20"/>
        </w:rPr>
        <w:t>normative research</w:t>
      </w:r>
      <w:r w:rsidRPr="007F12A1">
        <w:rPr>
          <w:rFonts w:asciiTheme="majorHAnsi" w:hAnsiTheme="majorHAnsi" w:cstheme="majorHAnsi"/>
          <w:i/>
          <w:iCs/>
          <w:sz w:val="20"/>
          <w:szCs w:val="20"/>
        </w:rPr>
        <w:t xml:space="preserve"> using secondary data and literature study for data </w:t>
      </w:r>
      <w:r w:rsidR="00913EEA" w:rsidRPr="007F12A1">
        <w:rPr>
          <w:rFonts w:asciiTheme="majorHAnsi" w:hAnsiTheme="majorHAnsi" w:cstheme="majorHAnsi"/>
          <w:i/>
          <w:iCs/>
          <w:sz w:val="20"/>
          <w:szCs w:val="20"/>
        </w:rPr>
        <w:t>collection. The</w:t>
      </w:r>
      <w:r w:rsidRPr="007F12A1">
        <w:rPr>
          <w:rFonts w:asciiTheme="majorHAnsi" w:hAnsiTheme="majorHAnsi" w:cstheme="majorHAnsi"/>
          <w:i/>
          <w:iCs/>
          <w:sz w:val="20"/>
          <w:szCs w:val="20"/>
        </w:rPr>
        <w:t xml:space="preserve"> research findings indicate that firstly, within the legislative regulations system, Ministerial regulations are considered as delegated legislation or delegated regulations based on regulations above them. Secondly, through the independent authority of ministries and/or Ministers, a wide scope has been opened for creating regulations based on the independent authority of Ministers and/or ministries. This has resulted in an anomaly, namely the emergence of laws that provide attribution power to Ministers and/or ministries to directly create Ministerial regulations. This situation creates incompatibility in the administration of government because attribution power cannot be exercised by Ministers as assistants and mandate holders of the President.</w:t>
      </w:r>
    </w:p>
    <w:p w14:paraId="45C0DE99" w14:textId="3345B09F" w:rsidR="000A2C7B" w:rsidRPr="00913EEA" w:rsidRDefault="006E45B0" w:rsidP="000A2C7B">
      <w:pPr>
        <w:jc w:val="both"/>
        <w:rPr>
          <w:rFonts w:asciiTheme="majorHAnsi" w:hAnsiTheme="majorHAnsi" w:cstheme="majorHAnsi"/>
          <w:i/>
          <w:iCs/>
          <w:sz w:val="20"/>
          <w:szCs w:val="20"/>
        </w:rPr>
      </w:pPr>
      <w:r w:rsidRPr="00913EEA">
        <w:rPr>
          <w:rFonts w:asciiTheme="majorHAnsi" w:hAnsiTheme="majorHAnsi" w:cstheme="majorHAnsi"/>
          <w:b/>
          <w:i/>
          <w:color w:val="006600"/>
          <w:sz w:val="20"/>
          <w:szCs w:val="20"/>
        </w:rPr>
        <w:t xml:space="preserve">Keywords: </w:t>
      </w:r>
      <w:r w:rsidR="000A2C7B" w:rsidRPr="00913EEA">
        <w:rPr>
          <w:rFonts w:asciiTheme="majorHAnsi" w:hAnsiTheme="majorHAnsi" w:cstheme="majorHAnsi"/>
          <w:i/>
          <w:iCs/>
          <w:sz w:val="20"/>
          <w:szCs w:val="20"/>
        </w:rPr>
        <w:t>Attribution Power</w:t>
      </w:r>
      <w:r w:rsidR="00A6632D" w:rsidRPr="00913EEA">
        <w:rPr>
          <w:rFonts w:asciiTheme="majorHAnsi" w:hAnsiTheme="majorHAnsi" w:cstheme="majorHAnsi"/>
          <w:i/>
          <w:iCs/>
          <w:sz w:val="20"/>
          <w:szCs w:val="20"/>
        </w:rPr>
        <w:t xml:space="preserve">; </w:t>
      </w:r>
      <w:r w:rsidR="000A2C7B" w:rsidRPr="00913EEA">
        <w:rPr>
          <w:rFonts w:asciiTheme="majorHAnsi" w:hAnsiTheme="majorHAnsi" w:cstheme="majorHAnsi"/>
          <w:i/>
          <w:iCs/>
          <w:sz w:val="20"/>
          <w:szCs w:val="20"/>
        </w:rPr>
        <w:t>Delegated Legislation</w:t>
      </w:r>
      <w:r w:rsidR="00A6632D" w:rsidRPr="00913EEA">
        <w:rPr>
          <w:rFonts w:asciiTheme="majorHAnsi" w:hAnsiTheme="majorHAnsi" w:cstheme="majorHAnsi"/>
          <w:i/>
          <w:iCs/>
          <w:sz w:val="20"/>
          <w:szCs w:val="20"/>
        </w:rPr>
        <w:t xml:space="preserve">; </w:t>
      </w:r>
      <w:r w:rsidR="000A2C7B" w:rsidRPr="00913EEA">
        <w:rPr>
          <w:rFonts w:asciiTheme="majorHAnsi" w:hAnsiTheme="majorHAnsi" w:cstheme="majorHAnsi"/>
          <w:i/>
          <w:iCs/>
          <w:sz w:val="20"/>
          <w:szCs w:val="20"/>
        </w:rPr>
        <w:t>Government</w:t>
      </w:r>
      <w:r w:rsidR="00A6632D" w:rsidRPr="00913EEA">
        <w:rPr>
          <w:rFonts w:asciiTheme="majorHAnsi" w:hAnsiTheme="majorHAnsi" w:cstheme="majorHAnsi"/>
          <w:i/>
          <w:iCs/>
          <w:sz w:val="20"/>
          <w:szCs w:val="20"/>
        </w:rPr>
        <w:t>; Ministerial Regulation</w:t>
      </w:r>
    </w:p>
    <w:p w14:paraId="3354E46A" w14:textId="39B7FBB0" w:rsidR="00E518E6" w:rsidRPr="00913EEA" w:rsidRDefault="006E45B0" w:rsidP="00E518B6">
      <w:pPr>
        <w:pBdr>
          <w:top w:val="single" w:sz="4" w:space="1" w:color="000000"/>
          <w:bottom w:val="single" w:sz="4" w:space="1" w:color="000000"/>
        </w:pBdr>
        <w:spacing w:after="240" w:line="240" w:lineRule="auto"/>
        <w:jc w:val="both"/>
        <w:rPr>
          <w:sz w:val="20"/>
          <w:szCs w:val="20"/>
        </w:rPr>
      </w:pPr>
      <w:r w:rsidRPr="00913EEA">
        <w:rPr>
          <w:b/>
          <w:color w:val="006600"/>
          <w:sz w:val="20"/>
          <w:szCs w:val="20"/>
        </w:rPr>
        <w:t>Citation:</w:t>
      </w:r>
      <w:r w:rsidRPr="00913EEA">
        <w:rPr>
          <w:sz w:val="20"/>
          <w:szCs w:val="20"/>
        </w:rPr>
        <w:t xml:space="preserve"> </w:t>
      </w:r>
      <w:r w:rsidR="00E518B6" w:rsidRPr="00E518B6">
        <w:rPr>
          <w:sz w:val="20"/>
          <w:szCs w:val="20"/>
        </w:rPr>
        <w:t>M. Yasin al Arif. 2023. “Implementation of Ministerial Regulations Based on Attribution Power in the Administration of Government”. Mulawarman Law Review 8 (1): 4</w:t>
      </w:r>
      <w:r w:rsidR="00986891">
        <w:rPr>
          <w:sz w:val="20"/>
          <w:szCs w:val="20"/>
        </w:rPr>
        <w:t>5</w:t>
      </w:r>
      <w:r w:rsidR="00E518B6" w:rsidRPr="00E518B6">
        <w:rPr>
          <w:sz w:val="20"/>
          <w:szCs w:val="20"/>
        </w:rPr>
        <w:t>-5</w:t>
      </w:r>
      <w:r w:rsidR="00986891">
        <w:rPr>
          <w:sz w:val="20"/>
          <w:szCs w:val="20"/>
        </w:rPr>
        <w:t>6</w:t>
      </w:r>
      <w:r w:rsidR="00E518B6" w:rsidRPr="00E518B6">
        <w:rPr>
          <w:sz w:val="20"/>
          <w:szCs w:val="20"/>
        </w:rPr>
        <w:t>. https://doi.org/10.30872/mulrev.v8i1.1074.</w:t>
      </w:r>
    </w:p>
    <w:p w14:paraId="4CC9CAE3" w14:textId="39BCEC07" w:rsidR="00E518E6" w:rsidRPr="00E518B6" w:rsidRDefault="006E45B0" w:rsidP="00CE0A71">
      <w:pPr>
        <w:pStyle w:val="Heading1"/>
        <w:jc w:val="both"/>
        <w:rPr>
          <w:rFonts w:asciiTheme="majorHAnsi" w:hAnsiTheme="majorHAnsi" w:cstheme="majorHAnsi"/>
        </w:rPr>
      </w:pPr>
      <w:bookmarkStart w:id="0" w:name="_s7a5nzjtknxh" w:colFirst="0" w:colLast="0"/>
      <w:bookmarkEnd w:id="0"/>
      <w:r w:rsidRPr="00E518B6">
        <w:rPr>
          <w:rFonts w:asciiTheme="majorHAnsi" w:hAnsiTheme="majorHAnsi" w:cstheme="majorHAnsi"/>
        </w:rPr>
        <w:t>INTRODUCTION</w:t>
      </w:r>
    </w:p>
    <w:p w14:paraId="364D1FB2" w14:textId="07D14944" w:rsidR="00BD0A5E" w:rsidRPr="00E518B6" w:rsidRDefault="008A789A"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The issue of legislation remains an ongoing legal challenge that has yet to be fully resolved, both at the central and regional levels. This issue is recognized by the current government. President Joko Widodo, in March 2016, expressed his earnest commitment to streamline regulations.</w:t>
      </w:r>
      <w:r w:rsidR="00BD0A5E" w:rsidRPr="00E518B6">
        <w:rPr>
          <w:rStyle w:val="FootnoteReference"/>
          <w:rFonts w:asciiTheme="majorHAnsi" w:hAnsiTheme="majorHAnsi" w:cstheme="majorHAnsi"/>
          <w:sz w:val="24"/>
          <w:szCs w:val="24"/>
        </w:rPr>
        <w:footnoteReference w:id="1"/>
      </w:r>
    </w:p>
    <w:p w14:paraId="47C5BC77" w14:textId="6F5AFBB5" w:rsidR="00BD0A5E" w:rsidRPr="00E518B6" w:rsidRDefault="008A789A"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 xml:space="preserve">Based on data gathered from the website www.peraturan.go.id, it is reported that there are currently 41,612 regulations, with a breakdown of 1,891 Central Government Regulations, 17,113 Ministerial Regulations, 4,626 LPNK Regulations, and 15,982 others. In this regard, Ministerial Regulations still occupy the top position as the most numerous regulations. This data appears to be consistent with the information provided by the </w:t>
      </w:r>
      <w:r w:rsidRPr="00E518B6">
        <w:rPr>
          <w:rFonts w:asciiTheme="majorHAnsi" w:hAnsiTheme="majorHAnsi" w:cstheme="majorHAnsi"/>
          <w:sz w:val="24"/>
          <w:szCs w:val="24"/>
        </w:rPr>
        <w:lastRenderedPageBreak/>
        <w:t>Center for Law and Policy Studies (PSHK) in a study report from 2019, which indicated that from 2014 to October 2018, Ministerial Regulations constituted the largest number of regulations</w:t>
      </w:r>
      <w:r w:rsidR="00BD0A5E" w:rsidRPr="00E518B6">
        <w:rPr>
          <w:rFonts w:asciiTheme="majorHAnsi" w:hAnsiTheme="majorHAnsi" w:cstheme="majorHAnsi"/>
          <w:sz w:val="24"/>
          <w:szCs w:val="24"/>
        </w:rPr>
        <w:t>.</w:t>
      </w:r>
      <w:r w:rsidR="00BD0A5E" w:rsidRPr="00E518B6">
        <w:rPr>
          <w:rStyle w:val="FootnoteReference"/>
          <w:rFonts w:asciiTheme="majorHAnsi" w:hAnsiTheme="majorHAnsi" w:cstheme="majorHAnsi"/>
          <w:sz w:val="24"/>
          <w:szCs w:val="24"/>
        </w:rPr>
        <w:footnoteReference w:id="2"/>
      </w:r>
      <w:r w:rsidR="00BD0A5E" w:rsidRPr="00E518B6">
        <w:rPr>
          <w:rFonts w:asciiTheme="majorHAnsi" w:hAnsiTheme="majorHAnsi" w:cstheme="majorHAnsi"/>
          <w:sz w:val="24"/>
          <w:szCs w:val="24"/>
        </w:rPr>
        <w:t xml:space="preserve"> </w:t>
      </w:r>
    </w:p>
    <w:p w14:paraId="1E470730" w14:textId="645DBE9B" w:rsidR="00BD0A5E" w:rsidRPr="00E518B6" w:rsidRDefault="00271AC9" w:rsidP="00CE0A71">
      <w:pPr>
        <w:spacing w:after="120" w:line="240" w:lineRule="auto"/>
        <w:jc w:val="both"/>
        <w:rPr>
          <w:rFonts w:asciiTheme="majorHAnsi" w:hAnsiTheme="majorHAnsi" w:cstheme="majorHAnsi"/>
          <w:color w:val="000000"/>
          <w:sz w:val="24"/>
          <w:szCs w:val="24"/>
        </w:rPr>
      </w:pPr>
      <w:r w:rsidRPr="00E518B6">
        <w:rPr>
          <w:rFonts w:asciiTheme="majorHAnsi" w:hAnsiTheme="majorHAnsi" w:cstheme="majorHAnsi"/>
          <w:sz w:val="24"/>
          <w:szCs w:val="24"/>
        </w:rPr>
        <w:t>Thus, it can be said that regulatory obesity in Indonesia lies in Ministerial regulations rather than in laws. This is consistent with the findings of a study conducted by the Center for Constitutional Law Studies (PSHK) at the Faculty of Law, UII, which states that regulatory obesity is found at the Ministerial level rather than at the level of laws</w:t>
      </w:r>
      <w:r w:rsidR="00BD0A5E" w:rsidRPr="00E518B6">
        <w:rPr>
          <w:rFonts w:asciiTheme="majorHAnsi" w:hAnsiTheme="majorHAnsi" w:cstheme="majorHAnsi"/>
          <w:sz w:val="24"/>
          <w:szCs w:val="24"/>
        </w:rPr>
        <w:t>.</w:t>
      </w:r>
      <w:r w:rsidR="00BD0A5E" w:rsidRPr="00E518B6">
        <w:rPr>
          <w:rStyle w:val="FootnoteReference"/>
          <w:rFonts w:asciiTheme="majorHAnsi" w:hAnsiTheme="majorHAnsi" w:cstheme="majorHAnsi"/>
          <w:sz w:val="24"/>
          <w:szCs w:val="24"/>
        </w:rPr>
        <w:footnoteReference w:id="3"/>
      </w:r>
      <w:r w:rsidR="00A8028B" w:rsidRPr="00E518B6">
        <w:rPr>
          <w:rFonts w:asciiTheme="majorHAnsi" w:hAnsiTheme="majorHAnsi" w:cstheme="majorHAnsi"/>
          <w:color w:val="000000"/>
          <w:sz w:val="24"/>
          <w:szCs w:val="24"/>
        </w:rPr>
        <w:t xml:space="preserve"> </w:t>
      </w:r>
      <w:r w:rsidR="00A8028B" w:rsidRPr="00E518B6">
        <w:rPr>
          <w:rFonts w:asciiTheme="majorHAnsi" w:hAnsiTheme="majorHAnsi" w:cstheme="majorHAnsi"/>
          <w:sz w:val="24"/>
          <w:szCs w:val="24"/>
        </w:rPr>
        <w:t>Therefore, currently, when the government attempts to simplify legislation using omnibus methods</w:t>
      </w:r>
      <w:r w:rsidR="00D04915" w:rsidRPr="00E518B6">
        <w:rPr>
          <w:rStyle w:val="FootnoteReference"/>
          <w:rFonts w:asciiTheme="majorHAnsi" w:hAnsiTheme="majorHAnsi" w:cstheme="majorHAnsi"/>
          <w:color w:val="000000"/>
          <w:sz w:val="24"/>
          <w:szCs w:val="24"/>
        </w:rPr>
        <w:t>.</w:t>
      </w:r>
      <w:r w:rsidR="00BD0A5E" w:rsidRPr="00E518B6">
        <w:rPr>
          <w:rStyle w:val="FootnoteReference"/>
          <w:rFonts w:asciiTheme="majorHAnsi" w:hAnsiTheme="majorHAnsi" w:cstheme="majorHAnsi"/>
          <w:color w:val="000000"/>
          <w:sz w:val="24"/>
          <w:szCs w:val="24"/>
        </w:rPr>
        <w:footnoteReference w:id="4"/>
      </w:r>
      <w:r w:rsidR="00BD0A5E" w:rsidRPr="00E518B6">
        <w:rPr>
          <w:rFonts w:asciiTheme="majorHAnsi" w:hAnsiTheme="majorHAnsi" w:cstheme="majorHAnsi"/>
          <w:color w:val="000000"/>
          <w:sz w:val="24"/>
          <w:szCs w:val="24"/>
        </w:rPr>
        <w:t xml:space="preserve"> </w:t>
      </w:r>
      <w:r w:rsidR="00D04915" w:rsidRPr="00E518B6">
        <w:rPr>
          <w:rFonts w:asciiTheme="majorHAnsi" w:hAnsiTheme="majorHAnsi" w:cstheme="majorHAnsi"/>
          <w:color w:val="000000"/>
          <w:sz w:val="24"/>
          <w:szCs w:val="24"/>
        </w:rPr>
        <w:t>i</w:t>
      </w:r>
      <w:r w:rsidRPr="00E518B6">
        <w:rPr>
          <w:rFonts w:asciiTheme="majorHAnsi" w:hAnsiTheme="majorHAnsi" w:cstheme="majorHAnsi"/>
          <w:sz w:val="24"/>
          <w:szCs w:val="24"/>
        </w:rPr>
        <w:t>t may not be entirely appropriate as the root cause of obesity lies within Ministerial regulations</w:t>
      </w:r>
      <w:r w:rsidR="00A85185" w:rsidRPr="00E518B6">
        <w:rPr>
          <w:rFonts w:asciiTheme="majorHAnsi" w:hAnsiTheme="majorHAnsi" w:cstheme="majorHAnsi"/>
          <w:sz w:val="24"/>
          <w:szCs w:val="24"/>
        </w:rPr>
        <w:t>.</w:t>
      </w:r>
    </w:p>
    <w:p w14:paraId="2E6C81CE" w14:textId="20A29520" w:rsidR="006B0CF7" w:rsidRPr="00E518B6" w:rsidRDefault="006B0CF7"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The obesity of Ministerial regulations in Indonesia is not coincidental. Through Article 8 paragraph (2) of Law No. 12 of 2011 as amended by Law No. 15 of 2019 on the Formation of Legislation, it opens the way for "ministerial" institutions to create regulations as long as mandated by higher legislation or based on their authority. Based on these provisions, indirectly, it has granted broad authority to Ministers to create Ministerial regulations, as they can be formed not only based on orders from higher regulations such as Government Regulations (PP) and Presidential Regulations (Perpres), but also based on the independent authority of the ministries.</w:t>
      </w:r>
      <w:r w:rsidR="009A7697" w:rsidRPr="00E518B6">
        <w:rPr>
          <w:rStyle w:val="FootnoteReference"/>
          <w:rFonts w:asciiTheme="majorHAnsi" w:hAnsiTheme="majorHAnsi" w:cstheme="majorHAnsi"/>
          <w:sz w:val="24"/>
          <w:szCs w:val="24"/>
        </w:rPr>
        <w:footnoteReference w:id="5"/>
      </w:r>
      <w:r w:rsidRPr="00E518B6">
        <w:rPr>
          <w:rFonts w:asciiTheme="majorHAnsi" w:hAnsiTheme="majorHAnsi" w:cstheme="majorHAnsi"/>
          <w:sz w:val="24"/>
          <w:szCs w:val="24"/>
        </w:rPr>
        <w:t xml:space="preserve"> Furthermore, in practice, there are laws that directly provide attribution (attributed power) to Ministers to directly create derivative regulations from the laws themselves</w:t>
      </w:r>
      <w:r w:rsidR="00FB477D" w:rsidRPr="00E518B6">
        <w:rPr>
          <w:rFonts w:asciiTheme="majorHAnsi" w:hAnsiTheme="majorHAnsi" w:cstheme="majorHAnsi"/>
          <w:sz w:val="24"/>
          <w:szCs w:val="24"/>
        </w:rPr>
        <w:t>.</w:t>
      </w:r>
      <w:r w:rsidR="00FB477D" w:rsidRPr="00E518B6">
        <w:rPr>
          <w:rStyle w:val="FootnoteReference"/>
          <w:rFonts w:asciiTheme="majorHAnsi" w:hAnsiTheme="majorHAnsi" w:cstheme="majorHAnsi"/>
          <w:sz w:val="24"/>
          <w:szCs w:val="24"/>
        </w:rPr>
        <w:footnoteReference w:id="6"/>
      </w:r>
    </w:p>
    <w:p w14:paraId="25EB6FD7" w14:textId="0F0AA48C" w:rsidR="00BD0A5E" w:rsidRPr="00E518B6" w:rsidRDefault="00E17418"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Furthermore, based on research conducted by Ni'matul Huda et al</w:t>
      </w:r>
      <w:r w:rsidR="008E30AB" w:rsidRPr="00E518B6">
        <w:rPr>
          <w:rStyle w:val="FootnoteReference"/>
          <w:rFonts w:asciiTheme="majorHAnsi" w:hAnsiTheme="majorHAnsi" w:cstheme="majorHAnsi"/>
          <w:sz w:val="24"/>
          <w:szCs w:val="24"/>
        </w:rPr>
        <w:footnoteReference w:id="7"/>
      </w:r>
      <w:r w:rsidRPr="00E518B6">
        <w:rPr>
          <w:rFonts w:asciiTheme="majorHAnsi" w:hAnsiTheme="majorHAnsi" w:cstheme="majorHAnsi"/>
          <w:sz w:val="24"/>
          <w:szCs w:val="24"/>
        </w:rPr>
        <w:t xml:space="preserve">., </w:t>
      </w:r>
      <w:r w:rsidR="008E30AB" w:rsidRPr="00E518B6">
        <w:rPr>
          <w:rFonts w:asciiTheme="majorHAnsi" w:hAnsiTheme="majorHAnsi" w:cstheme="majorHAnsi"/>
          <w:sz w:val="24"/>
          <w:szCs w:val="24"/>
        </w:rPr>
        <w:t>and Simon Butt &amp; Prayekti Murharjanti</w:t>
      </w:r>
      <w:r w:rsidR="008E30AB" w:rsidRPr="00E518B6">
        <w:rPr>
          <w:rStyle w:val="FootnoteReference"/>
          <w:rFonts w:asciiTheme="majorHAnsi" w:hAnsiTheme="majorHAnsi" w:cstheme="majorHAnsi"/>
          <w:sz w:val="24"/>
          <w:szCs w:val="24"/>
        </w:rPr>
        <w:footnoteReference w:id="8"/>
      </w:r>
      <w:r w:rsidR="008E30AB" w:rsidRPr="00E518B6">
        <w:rPr>
          <w:rFonts w:asciiTheme="majorHAnsi" w:hAnsiTheme="majorHAnsi" w:cstheme="majorHAnsi"/>
          <w:sz w:val="24"/>
          <w:szCs w:val="24"/>
        </w:rPr>
        <w:t xml:space="preserve">, </w:t>
      </w:r>
      <w:r w:rsidRPr="00E518B6">
        <w:rPr>
          <w:rFonts w:asciiTheme="majorHAnsi" w:hAnsiTheme="majorHAnsi" w:cstheme="majorHAnsi"/>
          <w:sz w:val="24"/>
          <w:szCs w:val="24"/>
        </w:rPr>
        <w:t>Ministerial regulations are also widely used in practice as a legal instrument to follow up on decisions of the Constitutional Court</w:t>
      </w:r>
      <w:r w:rsidR="00BD0A5E" w:rsidRPr="00E518B6">
        <w:rPr>
          <w:rFonts w:asciiTheme="majorHAnsi" w:hAnsiTheme="majorHAnsi" w:cstheme="majorHAnsi"/>
          <w:sz w:val="24"/>
          <w:szCs w:val="24"/>
        </w:rPr>
        <w:t>.</w:t>
      </w:r>
      <w:r w:rsidRPr="00E518B6">
        <w:rPr>
          <w:rFonts w:asciiTheme="majorHAnsi" w:hAnsiTheme="majorHAnsi" w:cstheme="majorHAnsi"/>
          <w:sz w:val="24"/>
          <w:szCs w:val="24"/>
        </w:rPr>
        <w:t xml:space="preserve"> On the other hand, there are also variants of Ministerial regulations that are jointly formed, known as Joint Decisions, which also contribute to the obesity of Ministerial regulations. According to Ibnu Sina, this phenomenon occurs because the creation of regulations is often seen as the most effective solution to address existing issues, leading to an excessive desire to regulate a multitude of matters</w:t>
      </w:r>
      <w:r w:rsidR="00BD0A5E" w:rsidRPr="00E518B6">
        <w:rPr>
          <w:rFonts w:asciiTheme="majorHAnsi" w:hAnsiTheme="majorHAnsi" w:cstheme="majorHAnsi"/>
          <w:sz w:val="24"/>
          <w:szCs w:val="24"/>
        </w:rPr>
        <w:t>.</w:t>
      </w:r>
      <w:r w:rsidR="00BD0A5E" w:rsidRPr="00E518B6">
        <w:rPr>
          <w:rStyle w:val="FootnoteReference"/>
          <w:rFonts w:asciiTheme="majorHAnsi" w:hAnsiTheme="majorHAnsi" w:cstheme="majorHAnsi"/>
          <w:sz w:val="24"/>
          <w:szCs w:val="24"/>
        </w:rPr>
        <w:footnoteReference w:id="9"/>
      </w:r>
    </w:p>
    <w:p w14:paraId="7E40A69C" w14:textId="357A3852" w:rsidR="00FB0D47" w:rsidRPr="00E518B6" w:rsidRDefault="00FB0D47"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lastRenderedPageBreak/>
        <w:t xml:space="preserve">There have been at least four previous studies that examined Ministerial regulations. A study from the perspective of Constitutional Law, conducted by Ni'matul Huda </w:t>
      </w:r>
      <w:r w:rsidR="00BD0A5E" w:rsidRPr="00E518B6">
        <w:rPr>
          <w:rStyle w:val="FootnoteReference"/>
          <w:rFonts w:asciiTheme="majorHAnsi" w:hAnsiTheme="majorHAnsi" w:cstheme="majorHAnsi"/>
          <w:sz w:val="24"/>
          <w:szCs w:val="24"/>
        </w:rPr>
        <w:footnoteReference w:id="10"/>
      </w:r>
      <w:r w:rsidR="00BD0A5E" w:rsidRPr="00E518B6">
        <w:rPr>
          <w:rFonts w:asciiTheme="majorHAnsi" w:hAnsiTheme="majorHAnsi" w:cstheme="majorHAnsi"/>
          <w:sz w:val="24"/>
          <w:szCs w:val="24"/>
        </w:rPr>
        <w:t xml:space="preserve"> </w:t>
      </w:r>
      <w:r w:rsidRPr="00E518B6">
        <w:rPr>
          <w:rFonts w:asciiTheme="majorHAnsi" w:hAnsiTheme="majorHAnsi" w:cstheme="majorHAnsi"/>
          <w:sz w:val="24"/>
          <w:szCs w:val="24"/>
        </w:rPr>
        <w:t xml:space="preserve">and </w:t>
      </w:r>
      <w:r w:rsidR="00BD0A5E" w:rsidRPr="00E518B6">
        <w:rPr>
          <w:rFonts w:asciiTheme="majorHAnsi" w:hAnsiTheme="majorHAnsi" w:cstheme="majorHAnsi"/>
          <w:sz w:val="24"/>
          <w:szCs w:val="24"/>
        </w:rPr>
        <w:t>Sofyan Apendi</w:t>
      </w:r>
      <w:r w:rsidR="00BD0A5E" w:rsidRPr="00E518B6">
        <w:rPr>
          <w:rStyle w:val="FootnoteReference"/>
          <w:rFonts w:asciiTheme="majorHAnsi" w:hAnsiTheme="majorHAnsi" w:cstheme="majorHAnsi"/>
          <w:sz w:val="24"/>
          <w:szCs w:val="24"/>
        </w:rPr>
        <w:footnoteReference w:id="11"/>
      </w:r>
      <w:r w:rsidR="00BD0A5E" w:rsidRPr="00E518B6">
        <w:rPr>
          <w:rFonts w:asciiTheme="majorHAnsi" w:hAnsiTheme="majorHAnsi" w:cstheme="majorHAnsi"/>
          <w:sz w:val="24"/>
          <w:szCs w:val="24"/>
        </w:rPr>
        <w:t xml:space="preserve"> </w:t>
      </w:r>
      <w:r w:rsidRPr="00E518B6">
        <w:rPr>
          <w:rFonts w:asciiTheme="majorHAnsi" w:hAnsiTheme="majorHAnsi" w:cstheme="majorHAnsi"/>
          <w:sz w:val="24"/>
          <w:szCs w:val="24"/>
        </w:rPr>
        <w:t xml:space="preserve">concluded that Ministerial regulations should be abolished. Another study from the perspective of administrative law, conducted by </w:t>
      </w:r>
      <w:r w:rsidR="00BD0A5E" w:rsidRPr="00E518B6">
        <w:rPr>
          <w:rFonts w:asciiTheme="majorHAnsi" w:hAnsiTheme="majorHAnsi" w:cstheme="majorHAnsi"/>
          <w:sz w:val="24"/>
          <w:szCs w:val="24"/>
        </w:rPr>
        <w:t>Ridwan</w:t>
      </w:r>
      <w:r w:rsidR="00BD0A5E" w:rsidRPr="00E518B6">
        <w:rPr>
          <w:rStyle w:val="FootnoteReference"/>
          <w:rFonts w:asciiTheme="majorHAnsi" w:hAnsiTheme="majorHAnsi" w:cstheme="majorHAnsi"/>
          <w:sz w:val="24"/>
          <w:szCs w:val="24"/>
        </w:rPr>
        <w:footnoteReference w:id="12"/>
      </w:r>
      <w:r w:rsidR="00BD0A5E" w:rsidRPr="00E518B6">
        <w:rPr>
          <w:rFonts w:asciiTheme="majorHAnsi" w:hAnsiTheme="majorHAnsi" w:cstheme="majorHAnsi"/>
          <w:sz w:val="24"/>
          <w:szCs w:val="24"/>
        </w:rPr>
        <w:t xml:space="preserve"> </w:t>
      </w:r>
      <w:r w:rsidRPr="00E518B6">
        <w:rPr>
          <w:rFonts w:asciiTheme="majorHAnsi" w:hAnsiTheme="majorHAnsi" w:cstheme="majorHAnsi"/>
          <w:sz w:val="24"/>
          <w:szCs w:val="24"/>
        </w:rPr>
        <w:t xml:space="preserve">concluded that Ministerial regulations do not need to be abolished, but with certain conditions. Additionally, there is a study written by </w:t>
      </w:r>
      <w:r w:rsidR="00BD0A5E" w:rsidRPr="00E518B6">
        <w:rPr>
          <w:rFonts w:asciiTheme="majorHAnsi" w:hAnsiTheme="majorHAnsi" w:cstheme="majorHAnsi"/>
          <w:sz w:val="24"/>
          <w:szCs w:val="24"/>
        </w:rPr>
        <w:t>I Nyoman Prabu Rumiartha</w:t>
      </w:r>
      <w:r w:rsidRPr="00E518B6">
        <w:rPr>
          <w:rFonts w:asciiTheme="majorHAnsi" w:hAnsiTheme="majorHAnsi" w:cstheme="majorHAnsi"/>
          <w:sz w:val="24"/>
          <w:szCs w:val="24"/>
        </w:rPr>
        <w:t>,</w:t>
      </w:r>
      <w:r w:rsidR="00BD0A5E" w:rsidRPr="00E518B6">
        <w:rPr>
          <w:rStyle w:val="FootnoteReference"/>
          <w:rFonts w:asciiTheme="majorHAnsi" w:hAnsiTheme="majorHAnsi" w:cstheme="majorHAnsi"/>
          <w:sz w:val="24"/>
          <w:szCs w:val="24"/>
        </w:rPr>
        <w:footnoteReference w:id="13"/>
      </w:r>
      <w:r w:rsidRPr="00E518B6">
        <w:rPr>
          <w:rFonts w:asciiTheme="majorHAnsi" w:hAnsiTheme="majorHAnsi" w:cstheme="majorHAnsi"/>
          <w:sz w:val="24"/>
          <w:szCs w:val="24"/>
        </w:rPr>
        <w:t xml:space="preserve"> which classifies that after the enactment of Law N</w:t>
      </w:r>
      <w:r w:rsidR="007F7FAF" w:rsidRPr="00E518B6">
        <w:rPr>
          <w:rFonts w:asciiTheme="majorHAnsi" w:hAnsiTheme="majorHAnsi" w:cstheme="majorHAnsi"/>
          <w:sz w:val="24"/>
          <w:szCs w:val="24"/>
        </w:rPr>
        <w:t xml:space="preserve">umber </w:t>
      </w:r>
      <w:r w:rsidRPr="00E518B6">
        <w:rPr>
          <w:rFonts w:asciiTheme="majorHAnsi" w:hAnsiTheme="majorHAnsi" w:cstheme="majorHAnsi"/>
          <w:sz w:val="24"/>
          <w:szCs w:val="24"/>
        </w:rPr>
        <w:t>12 of 2011, there are Ministerial regulations formed based on higher legislation, as well as Ministerial regulations formed based on their own authority, both of which qualify as legislation.</w:t>
      </w:r>
    </w:p>
    <w:p w14:paraId="7AB2BD37" w14:textId="0C9BB6D5" w:rsidR="00F8744F" w:rsidRPr="00E518B6" w:rsidRDefault="00F8744F" w:rsidP="00E518B6">
      <w:pPr>
        <w:spacing w:after="240" w:line="240" w:lineRule="auto"/>
        <w:jc w:val="both"/>
        <w:rPr>
          <w:rFonts w:asciiTheme="majorHAnsi" w:hAnsiTheme="majorHAnsi" w:cstheme="majorHAnsi"/>
          <w:sz w:val="24"/>
          <w:szCs w:val="24"/>
        </w:rPr>
      </w:pPr>
      <w:r w:rsidRPr="00E518B6">
        <w:rPr>
          <w:rFonts w:asciiTheme="majorHAnsi" w:hAnsiTheme="majorHAnsi" w:cstheme="majorHAnsi"/>
          <w:sz w:val="24"/>
          <w:szCs w:val="24"/>
        </w:rPr>
        <w:t>This research aims to examine Ministerial regulations from two perspectives: constitutional law and administrative law. The administrative law approach is used to address the issue of incompatibility of Ministerial regulations based on attribution power in the governance system. Meanwhile, the constitutional law approach is used to address the issue of Ministerial regulations as implementing regulations with the status of delegated legislation.</w:t>
      </w:r>
      <w:r w:rsidR="007F7FAF" w:rsidRPr="00E518B6">
        <w:rPr>
          <w:rFonts w:asciiTheme="majorHAnsi" w:hAnsiTheme="majorHAnsi" w:cstheme="majorHAnsi"/>
          <w:sz w:val="24"/>
          <w:szCs w:val="24"/>
        </w:rPr>
        <w:t xml:space="preserve"> </w:t>
      </w:r>
      <w:r w:rsidRPr="00E518B6">
        <w:rPr>
          <w:rFonts w:asciiTheme="majorHAnsi" w:hAnsiTheme="majorHAnsi" w:cstheme="majorHAnsi"/>
          <w:sz w:val="24"/>
          <w:szCs w:val="24"/>
        </w:rPr>
        <w:t xml:space="preserve">Based on the above description, </w:t>
      </w:r>
      <w:r w:rsidR="007F7FAF" w:rsidRPr="00E518B6">
        <w:rPr>
          <w:rFonts w:asciiTheme="majorHAnsi" w:hAnsiTheme="majorHAnsi" w:cstheme="majorHAnsi"/>
          <w:sz w:val="24"/>
          <w:szCs w:val="24"/>
        </w:rPr>
        <w:t xml:space="preserve">this research focused </w:t>
      </w:r>
      <w:r w:rsidR="00E518B6" w:rsidRPr="00E518B6">
        <w:rPr>
          <w:rFonts w:asciiTheme="majorHAnsi" w:hAnsiTheme="majorHAnsi" w:cstheme="majorHAnsi"/>
          <w:sz w:val="24"/>
          <w:szCs w:val="24"/>
        </w:rPr>
        <w:t>on the</w:t>
      </w:r>
      <w:r w:rsidRPr="00E518B6">
        <w:rPr>
          <w:rFonts w:asciiTheme="majorHAnsi" w:hAnsiTheme="majorHAnsi" w:cstheme="majorHAnsi"/>
          <w:sz w:val="24"/>
          <w:szCs w:val="24"/>
        </w:rPr>
        <w:t xml:space="preserve"> position of Ministerial regulations in the Indonesian legal system</w:t>
      </w:r>
      <w:r w:rsidR="007F7FAF" w:rsidRPr="00E518B6">
        <w:rPr>
          <w:rFonts w:asciiTheme="majorHAnsi" w:hAnsiTheme="majorHAnsi" w:cstheme="majorHAnsi"/>
          <w:sz w:val="24"/>
          <w:szCs w:val="24"/>
        </w:rPr>
        <w:t xml:space="preserve"> and </w:t>
      </w:r>
      <w:r w:rsidRPr="00E518B6">
        <w:rPr>
          <w:rFonts w:asciiTheme="majorHAnsi" w:hAnsiTheme="majorHAnsi" w:cstheme="majorHAnsi"/>
          <w:sz w:val="24"/>
          <w:szCs w:val="24"/>
        </w:rPr>
        <w:t>the incompatibility of Ministerial regulations based on attribution power affect the governance system?</w:t>
      </w:r>
    </w:p>
    <w:p w14:paraId="435C3D15" w14:textId="77777777" w:rsidR="00E518E6" w:rsidRPr="00E518B6" w:rsidRDefault="006E45B0" w:rsidP="00CE0A71">
      <w:pPr>
        <w:pStyle w:val="Heading1"/>
        <w:rPr>
          <w:rFonts w:asciiTheme="majorHAnsi" w:hAnsiTheme="majorHAnsi" w:cstheme="majorHAnsi"/>
        </w:rPr>
      </w:pPr>
      <w:bookmarkStart w:id="1" w:name="_zei0u33kl6q" w:colFirst="0" w:colLast="0"/>
      <w:bookmarkEnd w:id="1"/>
      <w:r w:rsidRPr="00E518B6">
        <w:rPr>
          <w:rFonts w:asciiTheme="majorHAnsi" w:hAnsiTheme="majorHAnsi" w:cstheme="majorHAnsi"/>
        </w:rPr>
        <w:t>METHOD</w:t>
      </w:r>
    </w:p>
    <w:p w14:paraId="5083FA87" w14:textId="4F2F5526" w:rsidR="0057687F" w:rsidRPr="00E518B6" w:rsidRDefault="001022D9" w:rsidP="00CE0A71">
      <w:pPr>
        <w:pBdr>
          <w:top w:val="nil"/>
          <w:left w:val="nil"/>
          <w:bottom w:val="nil"/>
          <w:right w:val="nil"/>
          <w:between w:val="nil"/>
        </w:pBd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This research is a normative</w:t>
      </w:r>
      <w:r w:rsidR="007F7FAF" w:rsidRPr="00E518B6">
        <w:rPr>
          <w:rStyle w:val="FootnoteReference"/>
          <w:rFonts w:asciiTheme="majorHAnsi" w:hAnsiTheme="majorHAnsi" w:cstheme="majorHAnsi"/>
          <w:sz w:val="24"/>
          <w:szCs w:val="24"/>
        </w:rPr>
        <w:footnoteReference w:id="14"/>
      </w:r>
      <w:r w:rsidRPr="00E518B6">
        <w:rPr>
          <w:rFonts w:asciiTheme="majorHAnsi" w:hAnsiTheme="majorHAnsi" w:cstheme="majorHAnsi"/>
          <w:sz w:val="24"/>
          <w:szCs w:val="24"/>
        </w:rPr>
        <w:t xml:space="preserve"> study that focuses on examining the application of rules or norms in positive law to concrete cases</w:t>
      </w:r>
      <w:r w:rsidR="004B6249" w:rsidRPr="00E518B6">
        <w:rPr>
          <w:rFonts w:asciiTheme="majorHAnsi" w:hAnsiTheme="majorHAnsi" w:cstheme="majorHAnsi"/>
          <w:sz w:val="24"/>
          <w:szCs w:val="24"/>
        </w:rPr>
        <w:t>.</w:t>
      </w:r>
      <w:r w:rsidR="004B6249" w:rsidRPr="00E518B6">
        <w:rPr>
          <w:rStyle w:val="FootnoteReference"/>
          <w:rFonts w:asciiTheme="majorHAnsi" w:hAnsiTheme="majorHAnsi" w:cstheme="majorHAnsi"/>
          <w:sz w:val="24"/>
          <w:szCs w:val="24"/>
        </w:rPr>
        <w:footnoteReference w:id="15"/>
      </w:r>
      <w:r w:rsidRPr="00E518B6">
        <w:rPr>
          <w:rFonts w:asciiTheme="majorHAnsi" w:hAnsiTheme="majorHAnsi" w:cstheme="majorHAnsi"/>
          <w:sz w:val="24"/>
          <w:szCs w:val="24"/>
        </w:rPr>
        <w:t xml:space="preserve">  The data used in this study are secondary data, including primary legal materials, secondary legal materials, and tertiary legal materials. The data collection technique is conducted through literature review. Additionally, this research utilizes two approaches: the legislative approach and the conceptual approach. The legislative approach is used to examine all legislation and regulations related to the legal issues under investigation</w:t>
      </w:r>
      <w:r w:rsidR="004B6249" w:rsidRPr="00E518B6">
        <w:rPr>
          <w:rFonts w:asciiTheme="majorHAnsi" w:hAnsiTheme="majorHAnsi" w:cstheme="majorHAnsi"/>
          <w:sz w:val="24"/>
          <w:szCs w:val="24"/>
        </w:rPr>
        <w:t>.</w:t>
      </w:r>
      <w:r w:rsidR="004B6249" w:rsidRPr="00E518B6">
        <w:rPr>
          <w:rStyle w:val="FootnoteReference"/>
          <w:rFonts w:asciiTheme="majorHAnsi" w:hAnsiTheme="majorHAnsi" w:cstheme="majorHAnsi"/>
          <w:sz w:val="24"/>
          <w:szCs w:val="24"/>
        </w:rPr>
        <w:footnoteReference w:id="16"/>
      </w:r>
      <w:r w:rsidR="004B6249" w:rsidRPr="00E518B6">
        <w:rPr>
          <w:rFonts w:asciiTheme="majorHAnsi" w:hAnsiTheme="majorHAnsi" w:cstheme="majorHAnsi"/>
          <w:sz w:val="24"/>
          <w:szCs w:val="24"/>
        </w:rPr>
        <w:t xml:space="preserve"> </w:t>
      </w:r>
      <w:r w:rsidRPr="00E518B6">
        <w:rPr>
          <w:rFonts w:asciiTheme="majorHAnsi" w:hAnsiTheme="majorHAnsi" w:cstheme="majorHAnsi"/>
          <w:sz w:val="24"/>
          <w:szCs w:val="24"/>
        </w:rPr>
        <w:t>The conceptual approach is employed to formulate concepts regarding Ministerial regulations in order to avoid regulatory obesity</w:t>
      </w:r>
      <w:r w:rsidR="002D1B0B" w:rsidRPr="00E518B6">
        <w:rPr>
          <w:rFonts w:asciiTheme="majorHAnsi" w:hAnsiTheme="majorHAnsi" w:cstheme="majorHAnsi"/>
          <w:sz w:val="24"/>
          <w:szCs w:val="24"/>
        </w:rPr>
        <w:t>.</w:t>
      </w:r>
      <w:r w:rsidRPr="00E518B6">
        <w:rPr>
          <w:rFonts w:asciiTheme="majorHAnsi" w:hAnsiTheme="majorHAnsi" w:cstheme="majorHAnsi"/>
          <w:sz w:val="24"/>
          <w:szCs w:val="24"/>
        </w:rPr>
        <w:t xml:space="preserve"> </w:t>
      </w:r>
      <w:r w:rsidR="004B6249" w:rsidRPr="00E518B6">
        <w:rPr>
          <w:rFonts w:asciiTheme="majorHAnsi" w:hAnsiTheme="majorHAnsi" w:cstheme="majorHAnsi"/>
          <w:sz w:val="24"/>
          <w:szCs w:val="24"/>
        </w:rPr>
        <w:t>﻿</w:t>
      </w:r>
      <w:r w:rsidR="004B6249" w:rsidRPr="00E518B6">
        <w:rPr>
          <w:rStyle w:val="FootnoteReference"/>
          <w:rFonts w:asciiTheme="majorHAnsi" w:hAnsiTheme="majorHAnsi" w:cstheme="majorHAnsi"/>
          <w:sz w:val="24"/>
          <w:szCs w:val="24"/>
        </w:rPr>
        <w:footnoteReference w:id="17"/>
      </w:r>
    </w:p>
    <w:p w14:paraId="7577177B" w14:textId="77777777" w:rsidR="007763A7" w:rsidRPr="00E518B6" w:rsidRDefault="007763A7" w:rsidP="00CE0A71">
      <w:pPr>
        <w:pBdr>
          <w:top w:val="nil"/>
          <w:left w:val="nil"/>
          <w:bottom w:val="nil"/>
          <w:right w:val="nil"/>
          <w:between w:val="nil"/>
        </w:pBdr>
        <w:spacing w:after="120" w:line="240" w:lineRule="auto"/>
        <w:jc w:val="both"/>
        <w:rPr>
          <w:rFonts w:asciiTheme="majorHAnsi" w:hAnsiTheme="majorHAnsi" w:cstheme="majorHAnsi"/>
          <w:sz w:val="24"/>
          <w:szCs w:val="24"/>
        </w:rPr>
      </w:pPr>
    </w:p>
    <w:p w14:paraId="6FC01754" w14:textId="77777777" w:rsidR="007763A7" w:rsidRPr="00E518B6" w:rsidRDefault="007763A7" w:rsidP="00CE0A71">
      <w:pPr>
        <w:pBdr>
          <w:top w:val="nil"/>
          <w:left w:val="nil"/>
          <w:bottom w:val="nil"/>
          <w:right w:val="nil"/>
          <w:between w:val="nil"/>
        </w:pBdr>
        <w:spacing w:after="120" w:line="240" w:lineRule="auto"/>
        <w:jc w:val="both"/>
        <w:rPr>
          <w:rFonts w:asciiTheme="majorHAnsi" w:hAnsiTheme="majorHAnsi" w:cstheme="majorHAnsi"/>
          <w:sz w:val="24"/>
          <w:szCs w:val="24"/>
        </w:rPr>
      </w:pPr>
    </w:p>
    <w:p w14:paraId="5020667D" w14:textId="77777777" w:rsidR="00E518E6" w:rsidRPr="00E518B6" w:rsidRDefault="006E45B0" w:rsidP="00CE0A71">
      <w:pPr>
        <w:pStyle w:val="Heading1"/>
        <w:rPr>
          <w:rFonts w:asciiTheme="majorHAnsi" w:hAnsiTheme="majorHAnsi" w:cstheme="majorHAnsi"/>
        </w:rPr>
      </w:pPr>
      <w:bookmarkStart w:id="2" w:name="_pui9ytca5zz" w:colFirst="0" w:colLast="0"/>
      <w:bookmarkEnd w:id="2"/>
      <w:r w:rsidRPr="00E518B6">
        <w:rPr>
          <w:rFonts w:asciiTheme="majorHAnsi" w:hAnsiTheme="majorHAnsi" w:cstheme="majorHAnsi"/>
        </w:rPr>
        <w:lastRenderedPageBreak/>
        <w:t>DISCUSSION</w:t>
      </w:r>
    </w:p>
    <w:p w14:paraId="6CB603D5" w14:textId="04DA7313" w:rsidR="00D342B5" w:rsidRPr="00E518B6" w:rsidRDefault="00D342B5" w:rsidP="00CE0A71">
      <w:pPr>
        <w:spacing w:after="120" w:line="240" w:lineRule="auto"/>
        <w:jc w:val="both"/>
        <w:rPr>
          <w:rFonts w:asciiTheme="majorHAnsi" w:hAnsiTheme="majorHAnsi" w:cstheme="majorHAnsi"/>
          <w:b/>
          <w:bCs/>
          <w:color w:val="006600"/>
          <w:sz w:val="24"/>
          <w:szCs w:val="24"/>
        </w:rPr>
      </w:pPr>
      <w:bookmarkStart w:id="3" w:name="_gwmks16kxovt" w:colFirst="0" w:colLast="0"/>
      <w:bookmarkEnd w:id="3"/>
      <w:r w:rsidRPr="00E518B6">
        <w:rPr>
          <w:rFonts w:asciiTheme="majorHAnsi" w:hAnsiTheme="majorHAnsi" w:cstheme="majorHAnsi"/>
          <w:b/>
          <w:bCs/>
          <w:color w:val="006600"/>
          <w:sz w:val="24"/>
          <w:szCs w:val="24"/>
        </w:rPr>
        <w:t xml:space="preserve">The Position of Ministerial Regulations </w:t>
      </w:r>
      <w:r w:rsidR="00B835E7" w:rsidRPr="00E518B6">
        <w:rPr>
          <w:rFonts w:asciiTheme="majorHAnsi" w:hAnsiTheme="majorHAnsi" w:cstheme="majorHAnsi"/>
          <w:b/>
          <w:bCs/>
          <w:color w:val="006600"/>
          <w:sz w:val="24"/>
          <w:szCs w:val="24"/>
        </w:rPr>
        <w:t xml:space="preserve">in the Indonesian </w:t>
      </w:r>
      <w:r w:rsidR="003E6A55" w:rsidRPr="00E518B6">
        <w:rPr>
          <w:rFonts w:asciiTheme="majorHAnsi" w:hAnsiTheme="majorHAnsi" w:cstheme="majorHAnsi"/>
          <w:b/>
          <w:bCs/>
          <w:color w:val="006600"/>
          <w:sz w:val="24"/>
          <w:szCs w:val="24"/>
        </w:rPr>
        <w:t>L</w:t>
      </w:r>
      <w:r w:rsidR="00B835E7" w:rsidRPr="00E518B6">
        <w:rPr>
          <w:rFonts w:asciiTheme="majorHAnsi" w:hAnsiTheme="majorHAnsi" w:cstheme="majorHAnsi"/>
          <w:b/>
          <w:bCs/>
          <w:color w:val="006600"/>
          <w:sz w:val="24"/>
          <w:szCs w:val="24"/>
        </w:rPr>
        <w:t xml:space="preserve">egal </w:t>
      </w:r>
      <w:r w:rsidR="003E6A55" w:rsidRPr="00E518B6">
        <w:rPr>
          <w:rFonts w:asciiTheme="majorHAnsi" w:hAnsiTheme="majorHAnsi" w:cstheme="majorHAnsi"/>
          <w:b/>
          <w:bCs/>
          <w:color w:val="006600"/>
          <w:sz w:val="24"/>
          <w:szCs w:val="24"/>
        </w:rPr>
        <w:t>S</w:t>
      </w:r>
      <w:r w:rsidR="00B835E7" w:rsidRPr="00E518B6">
        <w:rPr>
          <w:rFonts w:asciiTheme="majorHAnsi" w:hAnsiTheme="majorHAnsi" w:cstheme="majorHAnsi"/>
          <w:b/>
          <w:bCs/>
          <w:color w:val="006600"/>
          <w:sz w:val="24"/>
          <w:szCs w:val="24"/>
        </w:rPr>
        <w:t xml:space="preserve">ystem </w:t>
      </w:r>
      <w:r w:rsidRPr="00E518B6">
        <w:rPr>
          <w:rFonts w:asciiTheme="majorHAnsi" w:hAnsiTheme="majorHAnsi" w:cstheme="majorHAnsi"/>
          <w:b/>
          <w:bCs/>
          <w:color w:val="006600"/>
          <w:sz w:val="24"/>
          <w:szCs w:val="24"/>
        </w:rPr>
        <w:t>as Delegated Legislation</w:t>
      </w:r>
    </w:p>
    <w:p w14:paraId="36A31810" w14:textId="02DC4633" w:rsidR="00D40285" w:rsidRPr="00E518B6" w:rsidRDefault="002B432B"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As part of the government body, ministries or ministers are authorized to carry out government legal actions (</w:t>
      </w:r>
      <w:r w:rsidRPr="00E518B6">
        <w:rPr>
          <w:rFonts w:asciiTheme="majorHAnsi" w:hAnsiTheme="majorHAnsi" w:cstheme="majorHAnsi"/>
          <w:i/>
          <w:iCs/>
          <w:sz w:val="24"/>
          <w:szCs w:val="24"/>
        </w:rPr>
        <w:t>rechtshandelingen</w:t>
      </w:r>
      <w:r w:rsidRPr="00E518B6">
        <w:rPr>
          <w:rFonts w:asciiTheme="majorHAnsi" w:hAnsiTheme="majorHAnsi" w:cstheme="majorHAnsi"/>
          <w:sz w:val="24"/>
          <w:szCs w:val="24"/>
        </w:rPr>
        <w:t>). These actions undertaken by government organs can include regulatory actions (</w:t>
      </w:r>
      <w:r w:rsidRPr="00E518B6">
        <w:rPr>
          <w:rFonts w:asciiTheme="majorHAnsi" w:hAnsiTheme="majorHAnsi" w:cstheme="majorHAnsi"/>
          <w:i/>
          <w:iCs/>
          <w:sz w:val="24"/>
          <w:szCs w:val="24"/>
        </w:rPr>
        <w:t>regeling</w:t>
      </w:r>
      <w:r w:rsidRPr="00E518B6">
        <w:rPr>
          <w:rFonts w:asciiTheme="majorHAnsi" w:hAnsiTheme="majorHAnsi" w:cstheme="majorHAnsi"/>
          <w:sz w:val="24"/>
          <w:szCs w:val="24"/>
        </w:rPr>
        <w:t xml:space="preserve">), </w:t>
      </w:r>
      <w:r w:rsidR="00E518B6" w:rsidRPr="00E518B6">
        <w:rPr>
          <w:rFonts w:asciiTheme="majorHAnsi" w:hAnsiTheme="majorHAnsi" w:cstheme="majorHAnsi"/>
          <w:sz w:val="24"/>
          <w:szCs w:val="24"/>
        </w:rPr>
        <w:t>policymaking</w:t>
      </w:r>
      <w:r w:rsidRPr="00E518B6">
        <w:rPr>
          <w:rFonts w:asciiTheme="majorHAnsi" w:hAnsiTheme="majorHAnsi" w:cstheme="majorHAnsi"/>
          <w:sz w:val="24"/>
          <w:szCs w:val="24"/>
        </w:rPr>
        <w:t xml:space="preserve"> (</w:t>
      </w:r>
      <w:r w:rsidRPr="00E518B6">
        <w:rPr>
          <w:rFonts w:asciiTheme="majorHAnsi" w:hAnsiTheme="majorHAnsi" w:cstheme="majorHAnsi"/>
          <w:i/>
          <w:iCs/>
          <w:sz w:val="24"/>
          <w:szCs w:val="24"/>
        </w:rPr>
        <w:t>beleid</w:t>
      </w:r>
      <w:r w:rsidRPr="00E518B6">
        <w:rPr>
          <w:rFonts w:asciiTheme="majorHAnsi" w:hAnsiTheme="majorHAnsi" w:cstheme="majorHAnsi"/>
          <w:sz w:val="24"/>
          <w:szCs w:val="24"/>
        </w:rPr>
        <w:t>), decision-making (</w:t>
      </w:r>
      <w:r w:rsidRPr="00E518B6">
        <w:rPr>
          <w:rFonts w:asciiTheme="majorHAnsi" w:hAnsiTheme="majorHAnsi" w:cstheme="majorHAnsi"/>
          <w:i/>
          <w:iCs/>
          <w:sz w:val="24"/>
          <w:szCs w:val="24"/>
        </w:rPr>
        <w:t>beschikking</w:t>
      </w:r>
      <w:r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18"/>
      </w:r>
      <w:r w:rsidRPr="00E518B6">
        <w:rPr>
          <w:rFonts w:asciiTheme="majorHAnsi" w:hAnsiTheme="majorHAnsi" w:cstheme="majorHAnsi"/>
          <w:sz w:val="24"/>
          <w:szCs w:val="24"/>
        </w:rPr>
        <w:t xml:space="preserve"> planning (</w:t>
      </w:r>
      <w:r w:rsidRPr="00E518B6">
        <w:rPr>
          <w:rFonts w:asciiTheme="majorHAnsi" w:hAnsiTheme="majorHAnsi" w:cstheme="majorHAnsi"/>
          <w:i/>
          <w:iCs/>
          <w:sz w:val="24"/>
          <w:szCs w:val="24"/>
        </w:rPr>
        <w:t>het plan),</w:t>
      </w:r>
      <w:r w:rsidRPr="00E518B6">
        <w:rPr>
          <w:rFonts w:asciiTheme="majorHAnsi" w:hAnsiTheme="majorHAnsi" w:cstheme="majorHAnsi"/>
          <w:sz w:val="24"/>
          <w:szCs w:val="24"/>
        </w:rPr>
        <w:t xml:space="preserve"> licensing (</w:t>
      </w:r>
      <w:r w:rsidRPr="00E518B6">
        <w:rPr>
          <w:rFonts w:asciiTheme="majorHAnsi" w:hAnsiTheme="majorHAnsi" w:cstheme="majorHAnsi"/>
          <w:i/>
          <w:iCs/>
          <w:sz w:val="24"/>
          <w:szCs w:val="24"/>
        </w:rPr>
        <w:t>vergunning</w:t>
      </w:r>
      <w:r w:rsidRPr="00E518B6">
        <w:rPr>
          <w:rFonts w:asciiTheme="majorHAnsi" w:hAnsiTheme="majorHAnsi" w:cstheme="majorHAnsi"/>
          <w:sz w:val="24"/>
          <w:szCs w:val="24"/>
        </w:rPr>
        <w:t>), as well as factual actions (feitelijk handelingen). Government legal actions in the form of regulation will take the form of delegated legislation</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19"/>
      </w:r>
      <w:r w:rsidR="00D40285" w:rsidRPr="00E518B6">
        <w:rPr>
          <w:rFonts w:asciiTheme="majorHAnsi" w:hAnsiTheme="majorHAnsi" w:cstheme="majorHAnsi"/>
          <w:sz w:val="24"/>
          <w:szCs w:val="24"/>
        </w:rPr>
        <w:t xml:space="preserve"> </w:t>
      </w:r>
      <w:r w:rsidRPr="00E518B6">
        <w:rPr>
          <w:rFonts w:asciiTheme="majorHAnsi" w:hAnsiTheme="majorHAnsi" w:cstheme="majorHAnsi"/>
          <w:sz w:val="24"/>
          <w:szCs w:val="24"/>
        </w:rPr>
        <w:t>Based on this, ministers are allowed to issue regulations that have the nature of delegated legislation.</w:t>
      </w:r>
      <w:r w:rsidR="00856BF1" w:rsidRPr="00E518B6">
        <w:rPr>
          <w:rStyle w:val="FootnoteReference"/>
          <w:rFonts w:asciiTheme="majorHAnsi" w:hAnsiTheme="majorHAnsi" w:cstheme="majorHAnsi"/>
          <w:sz w:val="24"/>
          <w:szCs w:val="24"/>
        </w:rPr>
        <w:footnoteReference w:id="20"/>
      </w:r>
    </w:p>
    <w:p w14:paraId="011C4009" w14:textId="6A79057C" w:rsidR="002B432B" w:rsidRPr="00E518B6" w:rsidRDefault="002B432B"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However, government legal actions can only be carried out in accordance with the provisions and permissions set forth in the legislation. Without the existence of legislation, government legal actions will be categorized as unauthorized legal actions (</w:t>
      </w:r>
      <w:r w:rsidRPr="00E518B6">
        <w:rPr>
          <w:rFonts w:asciiTheme="majorHAnsi" w:hAnsiTheme="majorHAnsi" w:cstheme="majorHAnsi"/>
          <w:i/>
          <w:iCs/>
          <w:sz w:val="24"/>
          <w:szCs w:val="24"/>
        </w:rPr>
        <w:t>onbevoegd</w:t>
      </w:r>
      <w:r w:rsidRPr="00E518B6">
        <w:rPr>
          <w:rFonts w:asciiTheme="majorHAnsi" w:hAnsiTheme="majorHAnsi" w:cstheme="majorHAnsi"/>
          <w:sz w:val="24"/>
          <w:szCs w:val="24"/>
        </w:rPr>
        <w:t>)</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21"/>
      </w:r>
    </w:p>
    <w:p w14:paraId="1F8C90AA" w14:textId="2E3AC7FA" w:rsidR="008802FE" w:rsidRPr="00E518B6" w:rsidRDefault="008802FE"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Based on the perspective of Administrative Law, Ministerial Regulations are an objective reality related to the characteristics of government affairs that cannot be defined within strict limits, as they evolve with the dynamics of societal life and political interests</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22"/>
      </w:r>
      <w:r w:rsidR="00603C42" w:rsidRPr="00E518B6">
        <w:rPr>
          <w:rFonts w:asciiTheme="majorHAnsi" w:hAnsiTheme="majorHAnsi" w:cstheme="majorHAnsi"/>
          <w:sz w:val="24"/>
          <w:szCs w:val="24"/>
        </w:rPr>
        <w:t>The creation of Ministerial Regulations is motivated by government policies that need to be implemented through regulations that serve as implementation measures for higher-level regulations. Therefore, Ministers or officials of equivalent rank are granted the authority to establish such implementing regulations. Upon closer examination, the process of creating Ministerial Regulations stems from delegation, which aims to carry out higher-level legislation</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23"/>
      </w:r>
    </w:p>
    <w:p w14:paraId="608A7C9B" w14:textId="4C5AA54B" w:rsidR="00D40285" w:rsidRPr="00E518B6" w:rsidRDefault="00FF06F7"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Delegated legislation, also known as subordinate legislation</w:t>
      </w:r>
      <w:r w:rsidR="005402D3" w:rsidRPr="00E518B6">
        <w:rPr>
          <w:rStyle w:val="FootnoteReference"/>
          <w:rFonts w:asciiTheme="majorHAnsi" w:hAnsiTheme="majorHAnsi" w:cstheme="majorHAnsi"/>
          <w:sz w:val="24"/>
          <w:szCs w:val="24"/>
        </w:rPr>
        <w:footnoteReference w:id="24"/>
      </w:r>
      <w:r w:rsidRPr="00E518B6">
        <w:rPr>
          <w:rFonts w:asciiTheme="majorHAnsi" w:hAnsiTheme="majorHAnsi" w:cstheme="majorHAnsi"/>
          <w:sz w:val="24"/>
          <w:szCs w:val="24"/>
        </w:rPr>
        <w:t xml:space="preserve">, is essentially established because the subject matter addressed in primary legislation is limited to general matters. Additionally, primary legislation often only accommodates policy matters of a general nature. Therefore, it is </w:t>
      </w:r>
      <w:r w:rsidR="00E518B6" w:rsidRPr="00E518B6">
        <w:rPr>
          <w:rFonts w:asciiTheme="majorHAnsi" w:hAnsiTheme="majorHAnsi" w:cstheme="majorHAnsi"/>
          <w:sz w:val="24"/>
          <w:szCs w:val="24"/>
        </w:rPr>
        <w:t>common</w:t>
      </w:r>
      <w:r w:rsidRPr="00E518B6">
        <w:rPr>
          <w:rFonts w:asciiTheme="majorHAnsi" w:hAnsiTheme="majorHAnsi" w:cstheme="majorHAnsi"/>
          <w:sz w:val="24"/>
          <w:szCs w:val="24"/>
        </w:rPr>
        <w:t xml:space="preserve"> practice in countries around the world to </w:t>
      </w:r>
      <w:r w:rsidRPr="00E518B6">
        <w:rPr>
          <w:rFonts w:asciiTheme="majorHAnsi" w:hAnsiTheme="majorHAnsi" w:cstheme="majorHAnsi"/>
          <w:sz w:val="24"/>
          <w:szCs w:val="24"/>
        </w:rPr>
        <w:lastRenderedPageBreak/>
        <w:t xml:space="preserve">delegate the authority to further regulate technical matters to the executive branch in the form of subordinate </w:t>
      </w:r>
      <w:r w:rsidR="00E518B6" w:rsidRPr="00E518B6">
        <w:rPr>
          <w:rFonts w:asciiTheme="majorHAnsi" w:hAnsiTheme="majorHAnsi" w:cstheme="majorHAnsi"/>
          <w:sz w:val="24"/>
          <w:szCs w:val="24"/>
        </w:rPr>
        <w:t>legislation</w:t>
      </w:r>
      <w:r w:rsidRPr="00E518B6">
        <w:rPr>
          <w:rFonts w:asciiTheme="majorHAnsi" w:hAnsiTheme="majorHAnsi" w:cstheme="majorHAnsi"/>
          <w:sz w:val="24"/>
          <w:szCs w:val="24"/>
        </w:rPr>
        <w:t xml:space="preserve">, which </w:t>
      </w:r>
      <w:r w:rsidR="00E518B6" w:rsidRPr="00E518B6">
        <w:rPr>
          <w:rFonts w:asciiTheme="majorHAnsi" w:hAnsiTheme="majorHAnsi" w:cstheme="majorHAnsi"/>
          <w:sz w:val="24"/>
          <w:szCs w:val="24"/>
        </w:rPr>
        <w:t>serves</w:t>
      </w:r>
      <w:r w:rsidRPr="00E518B6">
        <w:rPr>
          <w:rFonts w:asciiTheme="majorHAnsi" w:hAnsiTheme="majorHAnsi" w:cstheme="majorHAnsi"/>
          <w:sz w:val="24"/>
          <w:szCs w:val="24"/>
        </w:rPr>
        <w:t xml:space="preserve"> as implementation regulations</w:t>
      </w:r>
      <w:r w:rsidRPr="00E518B6">
        <w:rPr>
          <w:rFonts w:asciiTheme="majorHAnsi" w:hAnsiTheme="majorHAnsi" w:cstheme="majorHAnsi"/>
          <w:i/>
          <w:iCs/>
          <w:sz w:val="24"/>
          <w:szCs w:val="24"/>
        </w:rPr>
        <w:t>.</w:t>
      </w:r>
      <w:r w:rsidR="00D40285" w:rsidRPr="00E518B6">
        <w:rPr>
          <w:rStyle w:val="FootnoteReference"/>
          <w:rFonts w:asciiTheme="majorHAnsi" w:hAnsiTheme="majorHAnsi" w:cstheme="majorHAnsi"/>
          <w:sz w:val="24"/>
          <w:szCs w:val="24"/>
        </w:rPr>
        <w:footnoteReference w:id="25"/>
      </w:r>
      <w:r w:rsidR="00D40285" w:rsidRPr="00E518B6">
        <w:rPr>
          <w:rFonts w:asciiTheme="majorHAnsi" w:hAnsiTheme="majorHAnsi" w:cstheme="majorHAnsi"/>
          <w:sz w:val="24"/>
          <w:szCs w:val="24"/>
        </w:rPr>
        <w:t xml:space="preserve"> </w:t>
      </w:r>
      <w:r w:rsidR="00262F8D" w:rsidRPr="00E518B6">
        <w:rPr>
          <w:rFonts w:asciiTheme="majorHAnsi" w:hAnsiTheme="majorHAnsi" w:cstheme="majorHAnsi"/>
          <w:sz w:val="24"/>
          <w:szCs w:val="24"/>
        </w:rPr>
        <w:t xml:space="preserve"> </w:t>
      </w:r>
      <w:r w:rsidR="00681A42" w:rsidRPr="00E518B6">
        <w:rPr>
          <w:rFonts w:asciiTheme="majorHAnsi" w:hAnsiTheme="majorHAnsi" w:cstheme="majorHAnsi"/>
          <w:sz w:val="24"/>
          <w:szCs w:val="24"/>
        </w:rPr>
        <w:t>Furthermore, according to B.L. Jones, subordinate legislation is utilized because delegated regulatory power can provide a quicker response to unforeseen circumstances. Moreover, delegated regulatory power allows for sufficient flexibility to implement laws based on appropriate considerations</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26"/>
      </w:r>
      <w:r w:rsidR="00906279" w:rsidRPr="00E518B6">
        <w:rPr>
          <w:rFonts w:asciiTheme="majorHAnsi" w:hAnsiTheme="majorHAnsi" w:cstheme="majorHAnsi"/>
          <w:sz w:val="24"/>
          <w:szCs w:val="24"/>
        </w:rPr>
        <w:t xml:space="preserve"> But, delegated legislation is produced by the executive branch of government, usually under powers conferred by legislatures have provoked controversy in most contemporary democracies.</w:t>
      </w:r>
      <w:r w:rsidR="00906279" w:rsidRPr="00E518B6">
        <w:rPr>
          <w:rStyle w:val="FootnoteReference"/>
          <w:rFonts w:asciiTheme="majorHAnsi" w:hAnsiTheme="majorHAnsi" w:cstheme="majorHAnsi"/>
          <w:sz w:val="24"/>
          <w:szCs w:val="24"/>
        </w:rPr>
        <w:footnoteReference w:id="27"/>
      </w:r>
      <w:r w:rsidR="00E620FD" w:rsidRPr="00E518B6">
        <w:rPr>
          <w:rFonts w:asciiTheme="majorHAnsi" w:hAnsiTheme="majorHAnsi" w:cstheme="majorHAnsi"/>
          <w:sz w:val="24"/>
          <w:szCs w:val="24"/>
        </w:rPr>
        <w:t xml:space="preserve"> </w:t>
      </w:r>
      <w:r w:rsidR="000C5F8D" w:rsidRPr="00E518B6">
        <w:rPr>
          <w:rFonts w:asciiTheme="majorHAnsi" w:hAnsiTheme="majorHAnsi" w:cstheme="majorHAnsi"/>
          <w:sz w:val="24"/>
          <w:szCs w:val="24"/>
        </w:rPr>
        <w:t>Because it can be said to be contrary to the principle of separation of powers</w:t>
      </w:r>
      <w:r w:rsidR="00603396" w:rsidRPr="00E518B6">
        <w:rPr>
          <w:rFonts w:asciiTheme="majorHAnsi" w:hAnsiTheme="majorHAnsi" w:cstheme="majorHAnsi"/>
          <w:sz w:val="24"/>
          <w:szCs w:val="24"/>
        </w:rPr>
        <w:t>.</w:t>
      </w:r>
      <w:r w:rsidR="00603396" w:rsidRPr="00E518B6">
        <w:rPr>
          <w:rStyle w:val="FootnoteReference"/>
          <w:rFonts w:asciiTheme="majorHAnsi" w:hAnsiTheme="majorHAnsi" w:cstheme="majorHAnsi"/>
          <w:sz w:val="24"/>
          <w:szCs w:val="24"/>
        </w:rPr>
        <w:footnoteReference w:id="28"/>
      </w:r>
      <w:r w:rsidR="00603396" w:rsidRPr="00E518B6">
        <w:rPr>
          <w:rFonts w:asciiTheme="majorHAnsi" w:hAnsiTheme="majorHAnsi" w:cstheme="majorHAnsi"/>
          <w:sz w:val="24"/>
          <w:szCs w:val="24"/>
        </w:rPr>
        <w:t xml:space="preserve">  Therefore, the creation of delegated legislation needs to be supervised.</w:t>
      </w:r>
      <w:r w:rsidR="00603396" w:rsidRPr="00E518B6">
        <w:rPr>
          <w:rStyle w:val="FootnoteReference"/>
          <w:rFonts w:asciiTheme="majorHAnsi" w:hAnsiTheme="majorHAnsi" w:cstheme="majorHAnsi"/>
          <w:sz w:val="24"/>
          <w:szCs w:val="24"/>
        </w:rPr>
        <w:footnoteReference w:id="29"/>
      </w:r>
      <w:r w:rsidR="00603396" w:rsidRPr="00E518B6">
        <w:rPr>
          <w:rFonts w:asciiTheme="majorHAnsi" w:hAnsiTheme="majorHAnsi" w:cstheme="majorHAnsi"/>
          <w:sz w:val="24"/>
          <w:szCs w:val="24"/>
        </w:rPr>
        <w:t xml:space="preserve"> In Australia, the creation of delegated legislation is overseen by parliament</w:t>
      </w:r>
      <w:r w:rsidR="000C5F8D" w:rsidRPr="00E518B6">
        <w:rPr>
          <w:rFonts w:asciiTheme="majorHAnsi" w:hAnsiTheme="majorHAnsi" w:cstheme="majorHAnsi"/>
          <w:sz w:val="24"/>
          <w:szCs w:val="24"/>
        </w:rPr>
        <w:t>.</w:t>
      </w:r>
      <w:r w:rsidR="000C5F8D" w:rsidRPr="00E518B6">
        <w:rPr>
          <w:rStyle w:val="FootnoteReference"/>
          <w:rFonts w:asciiTheme="majorHAnsi" w:hAnsiTheme="majorHAnsi" w:cstheme="majorHAnsi"/>
          <w:sz w:val="24"/>
          <w:szCs w:val="24"/>
        </w:rPr>
        <w:footnoteReference w:id="30"/>
      </w:r>
    </w:p>
    <w:p w14:paraId="22A53722" w14:textId="09493549" w:rsidR="001D21A5" w:rsidRPr="00E518B6" w:rsidRDefault="001D21A5"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The fact that Ministerial Regulations are considered as Delegated Legislation</w:t>
      </w:r>
      <w:r w:rsidR="003D6B33" w:rsidRPr="00E518B6">
        <w:rPr>
          <w:rStyle w:val="FootnoteReference"/>
          <w:rFonts w:asciiTheme="majorHAnsi" w:hAnsiTheme="majorHAnsi" w:cstheme="majorHAnsi"/>
          <w:sz w:val="24"/>
          <w:szCs w:val="24"/>
        </w:rPr>
        <w:footnoteReference w:id="31"/>
      </w:r>
      <w:r w:rsidRPr="00E518B6">
        <w:rPr>
          <w:rFonts w:asciiTheme="majorHAnsi" w:hAnsiTheme="majorHAnsi" w:cstheme="majorHAnsi"/>
          <w:sz w:val="24"/>
          <w:szCs w:val="24"/>
        </w:rPr>
        <w:t xml:space="preserve"> or subordinate legislation can be traced in Article 8 paragraph (2) of Law No. 12 of 2011 as amended by Law No. 15 of 2019 concerning the Formation of Legislation.</w:t>
      </w:r>
      <w:r w:rsidR="00D40285" w:rsidRPr="00E518B6">
        <w:rPr>
          <w:rStyle w:val="FootnoteReference"/>
          <w:rFonts w:asciiTheme="majorHAnsi" w:hAnsiTheme="majorHAnsi" w:cstheme="majorHAnsi"/>
          <w:sz w:val="24"/>
          <w:szCs w:val="24"/>
        </w:rPr>
        <w:footnoteReference w:id="32"/>
      </w:r>
      <w:r w:rsidR="00D40285" w:rsidRPr="00E518B6">
        <w:rPr>
          <w:rFonts w:asciiTheme="majorHAnsi" w:hAnsiTheme="majorHAnsi" w:cstheme="majorHAnsi"/>
          <w:sz w:val="24"/>
          <w:szCs w:val="24"/>
        </w:rPr>
        <w:t xml:space="preserve"> </w:t>
      </w:r>
      <w:r w:rsidRPr="00E518B6">
        <w:rPr>
          <w:rFonts w:asciiTheme="majorHAnsi" w:hAnsiTheme="majorHAnsi" w:cstheme="majorHAnsi"/>
          <w:sz w:val="24"/>
          <w:szCs w:val="24"/>
        </w:rPr>
        <w:t>This provision confirms that Ministerial Regulations have legal binding force as long as they are mandated by higher legislation or established based on delegated authority.</w:t>
      </w:r>
    </w:p>
    <w:p w14:paraId="1011BE95" w14:textId="709C10BB" w:rsidR="00EC509A" w:rsidRPr="00E518B6" w:rsidRDefault="00EC509A" w:rsidP="00E518B6">
      <w:pPr>
        <w:spacing w:after="240" w:line="240" w:lineRule="auto"/>
        <w:jc w:val="both"/>
        <w:rPr>
          <w:rFonts w:asciiTheme="majorHAnsi" w:hAnsiTheme="majorHAnsi" w:cstheme="majorHAnsi"/>
          <w:sz w:val="24"/>
          <w:szCs w:val="24"/>
        </w:rPr>
      </w:pPr>
      <w:r w:rsidRPr="00E518B6">
        <w:rPr>
          <w:rFonts w:asciiTheme="majorHAnsi" w:hAnsiTheme="majorHAnsi" w:cstheme="majorHAnsi"/>
          <w:sz w:val="24"/>
          <w:szCs w:val="24"/>
        </w:rPr>
        <w:t>According to Jimly, Ministerial Regulations, if not specifically mandated by Presidential Regulations or Government Regulations, cannot be established as intended</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33"/>
      </w:r>
      <w:r w:rsidR="00D40285" w:rsidRPr="00E518B6">
        <w:rPr>
          <w:rFonts w:asciiTheme="majorHAnsi" w:hAnsiTheme="majorHAnsi" w:cstheme="majorHAnsi"/>
          <w:sz w:val="24"/>
          <w:szCs w:val="24"/>
        </w:rPr>
        <w:t xml:space="preserve"> </w:t>
      </w:r>
      <w:r w:rsidRPr="00E518B6">
        <w:rPr>
          <w:rFonts w:asciiTheme="majorHAnsi" w:hAnsiTheme="majorHAnsi" w:cstheme="majorHAnsi"/>
          <w:sz w:val="24"/>
          <w:szCs w:val="24"/>
        </w:rPr>
        <w:t>Therefore, it can be said that the formation of Ministerial Regulations must be based on the regulations above it, namely Presidential Regulations or Government Regulations.</w:t>
      </w:r>
    </w:p>
    <w:p w14:paraId="74DE7354" w14:textId="77777777" w:rsidR="00D859E7" w:rsidRPr="00E518B6" w:rsidRDefault="00D859E7" w:rsidP="00CE0A71">
      <w:pPr>
        <w:spacing w:after="120" w:line="240" w:lineRule="auto"/>
        <w:jc w:val="both"/>
        <w:rPr>
          <w:rFonts w:asciiTheme="majorHAnsi" w:hAnsiTheme="majorHAnsi" w:cstheme="majorHAnsi"/>
          <w:b/>
          <w:bCs/>
          <w:color w:val="006600"/>
          <w:sz w:val="24"/>
          <w:szCs w:val="24"/>
        </w:rPr>
      </w:pPr>
      <w:r w:rsidRPr="00E518B6">
        <w:rPr>
          <w:rFonts w:asciiTheme="majorHAnsi" w:hAnsiTheme="majorHAnsi" w:cstheme="majorHAnsi"/>
          <w:b/>
          <w:bCs/>
          <w:color w:val="006600"/>
          <w:sz w:val="24"/>
          <w:szCs w:val="24"/>
        </w:rPr>
        <w:t>Incompatibility of Ministerial Regulations Based on Attributed Power in the Administration of Government</w:t>
      </w:r>
    </w:p>
    <w:p w14:paraId="0455F621" w14:textId="52D8780E" w:rsidR="00D859E7" w:rsidRPr="00E518B6" w:rsidRDefault="00D859E7"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Normatively, Ministerial Regulations</w:t>
      </w:r>
      <w:r w:rsidR="00EF251B" w:rsidRPr="00E518B6">
        <w:rPr>
          <w:rStyle w:val="FootnoteReference"/>
          <w:rFonts w:asciiTheme="majorHAnsi" w:hAnsiTheme="majorHAnsi" w:cstheme="majorHAnsi"/>
          <w:sz w:val="24"/>
          <w:szCs w:val="24"/>
        </w:rPr>
        <w:footnoteReference w:id="34"/>
      </w:r>
      <w:r w:rsidRPr="00E518B6">
        <w:rPr>
          <w:rFonts w:asciiTheme="majorHAnsi" w:hAnsiTheme="majorHAnsi" w:cstheme="majorHAnsi"/>
          <w:sz w:val="24"/>
          <w:szCs w:val="24"/>
        </w:rPr>
        <w:t xml:space="preserve"> are recognized through Article 8 paragraph (2) of Law No. 12 of 2011 as amended by Law No. 15 of 2019 concerning the Formation of </w:t>
      </w:r>
      <w:r w:rsidRPr="00E518B6">
        <w:rPr>
          <w:rFonts w:asciiTheme="majorHAnsi" w:hAnsiTheme="majorHAnsi" w:cstheme="majorHAnsi"/>
          <w:sz w:val="24"/>
          <w:szCs w:val="24"/>
        </w:rPr>
        <w:lastRenderedPageBreak/>
        <w:t>Legislation, which states that legislation, as referred to in paragraph (1), is recognized in its existence and has binding legal force as long as it is instructed by higher legislation or formed based on authority.</w:t>
      </w:r>
    </w:p>
    <w:p w14:paraId="3DC22816" w14:textId="0F2F37AA" w:rsidR="00D859E7" w:rsidRPr="00E518B6" w:rsidRDefault="00743055"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Based on the constructed framework, according to the research conducted by I Nyoman Prabu Rumiartha, there are two forms of Ministerial Regulations. Ministerial Regulations that are formed due to instructions from higher legislation or based on delegation, and Ministerial Regulations that are formed based on authority</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35"/>
      </w:r>
      <w:r w:rsidR="00D40285" w:rsidRPr="00E518B6">
        <w:rPr>
          <w:rFonts w:asciiTheme="majorHAnsi" w:hAnsiTheme="majorHAnsi" w:cstheme="majorHAnsi"/>
          <w:sz w:val="24"/>
          <w:szCs w:val="24"/>
        </w:rPr>
        <w:t xml:space="preserve"> </w:t>
      </w:r>
    </w:p>
    <w:p w14:paraId="42050F74" w14:textId="3682471E" w:rsidR="00D40285" w:rsidRPr="00E518B6" w:rsidRDefault="00040AAF"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According to Saldi Isra, the formation of Ministerial Regulations based on the authority of the Minister and/or the ministry contributes to the proliferation of the number of Ministerial Regulations, especially with the broad power to create regulations. As a result, the content of Ministerial Regulations can become unpredictable and disregard the principles of legislation formation</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36"/>
      </w:r>
    </w:p>
    <w:p w14:paraId="12B1B15C" w14:textId="1717EB25" w:rsidR="0081402B" w:rsidRPr="00E518B6" w:rsidRDefault="00040AAF"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In this context, the findings of the Center for Legal and Policy Studies in the study of regulatory reform in Indonesia can be cited as an example. In the study, PSHK found that the Apartment Law mandates the issuance of a Government Regulation on the establishment and recognition mechanism of the legal entity status of the Association of Apartment Owners and Occupants. However, instead of issuing a PP, Minister of Public Works and People's Housing Regulation N</w:t>
      </w:r>
      <w:r w:rsidR="007F7FAF" w:rsidRPr="00E518B6">
        <w:rPr>
          <w:rFonts w:asciiTheme="majorHAnsi" w:hAnsiTheme="majorHAnsi" w:cstheme="majorHAnsi"/>
          <w:sz w:val="24"/>
          <w:szCs w:val="24"/>
        </w:rPr>
        <w:t>umber</w:t>
      </w:r>
      <w:r w:rsidRPr="00E518B6">
        <w:rPr>
          <w:rFonts w:asciiTheme="majorHAnsi" w:hAnsiTheme="majorHAnsi" w:cstheme="majorHAnsi"/>
          <w:sz w:val="24"/>
          <w:szCs w:val="24"/>
        </w:rPr>
        <w:t xml:space="preserve"> 23/PRT/M/2018 concerning the Association of Apartment Owners and Occupants was issued. This regulation governs the establishment mechanism of PPPSRS, which should have been included in a PP or even a law</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37"/>
      </w:r>
      <w:r w:rsidR="00A6632D" w:rsidRPr="00E518B6">
        <w:rPr>
          <w:rFonts w:asciiTheme="majorHAnsi" w:hAnsiTheme="majorHAnsi" w:cstheme="majorHAnsi"/>
          <w:sz w:val="24"/>
          <w:szCs w:val="24"/>
        </w:rPr>
        <w:t xml:space="preserve"> </w:t>
      </w:r>
      <w:r w:rsidR="0081402B" w:rsidRPr="00E518B6">
        <w:rPr>
          <w:rFonts w:asciiTheme="majorHAnsi" w:hAnsiTheme="majorHAnsi" w:cstheme="majorHAnsi"/>
          <w:sz w:val="24"/>
          <w:szCs w:val="24"/>
        </w:rPr>
        <w:t xml:space="preserve">Furthermore, through the constructed framework, Ministerial Regulations can be established based on the authority of the Minister and/or the </w:t>
      </w:r>
      <w:r w:rsidR="00E518B6" w:rsidRPr="00E518B6">
        <w:rPr>
          <w:rFonts w:asciiTheme="majorHAnsi" w:hAnsiTheme="majorHAnsi" w:cstheme="majorHAnsi"/>
          <w:sz w:val="24"/>
          <w:szCs w:val="24"/>
        </w:rPr>
        <w:t>Ministry</w:t>
      </w:r>
      <w:r w:rsidR="0081402B" w:rsidRPr="00E518B6">
        <w:rPr>
          <w:rFonts w:asciiTheme="majorHAnsi" w:hAnsiTheme="majorHAnsi" w:cstheme="majorHAnsi"/>
          <w:sz w:val="24"/>
          <w:szCs w:val="24"/>
        </w:rPr>
        <w:t>. This has resulted in laws that directly mandate specific ministries to create Ministerial Regulations as follow-up regulations.</w:t>
      </w:r>
    </w:p>
    <w:p w14:paraId="58494D52" w14:textId="0C60356D" w:rsidR="0062228D" w:rsidRPr="00E518B6" w:rsidRDefault="0081402B"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For example, in Law No. 32 of 2009 on Environmental Protection and Management, there are numerous articles that grant the Minister the authority to issue Ministerial Regulations. The same can be found in Law No. 36 of 2009 on Health, Law N</w:t>
      </w:r>
      <w:r w:rsidR="00A54A6F" w:rsidRPr="00E518B6">
        <w:rPr>
          <w:rFonts w:asciiTheme="majorHAnsi" w:hAnsiTheme="majorHAnsi" w:cstheme="majorHAnsi"/>
          <w:sz w:val="24"/>
          <w:szCs w:val="24"/>
        </w:rPr>
        <w:t>umber</w:t>
      </w:r>
      <w:r w:rsidRPr="00E518B6">
        <w:rPr>
          <w:rFonts w:asciiTheme="majorHAnsi" w:hAnsiTheme="majorHAnsi" w:cstheme="majorHAnsi"/>
          <w:sz w:val="24"/>
          <w:szCs w:val="24"/>
        </w:rPr>
        <w:t>. 1 of 2011</w:t>
      </w:r>
      <w:r w:rsidR="00A54A6F" w:rsidRPr="00E518B6">
        <w:rPr>
          <w:rStyle w:val="FootnoteReference"/>
          <w:rFonts w:asciiTheme="majorHAnsi" w:hAnsiTheme="majorHAnsi" w:cstheme="majorHAnsi"/>
          <w:sz w:val="24"/>
          <w:szCs w:val="24"/>
        </w:rPr>
        <w:footnoteReference w:id="38"/>
      </w:r>
      <w:r w:rsidRPr="00E518B6">
        <w:rPr>
          <w:rFonts w:asciiTheme="majorHAnsi" w:hAnsiTheme="majorHAnsi" w:cstheme="majorHAnsi"/>
          <w:sz w:val="24"/>
          <w:szCs w:val="24"/>
        </w:rPr>
        <w:t xml:space="preserve"> on Housing and Residential Areas, and several other laws. The laws that grant the most attribution to the Minister </w:t>
      </w:r>
      <w:r w:rsidR="00E518B6" w:rsidRPr="00E518B6">
        <w:rPr>
          <w:rFonts w:asciiTheme="majorHAnsi" w:hAnsiTheme="majorHAnsi" w:cstheme="majorHAnsi"/>
          <w:sz w:val="24"/>
          <w:szCs w:val="24"/>
        </w:rPr>
        <w:t>is</w:t>
      </w:r>
      <w:r w:rsidRPr="00E518B6">
        <w:rPr>
          <w:rFonts w:asciiTheme="majorHAnsi" w:hAnsiTheme="majorHAnsi" w:cstheme="majorHAnsi"/>
          <w:sz w:val="24"/>
          <w:szCs w:val="24"/>
        </w:rPr>
        <w:t xml:space="preserve"> Law N</w:t>
      </w:r>
      <w:r w:rsidR="007F7FAF" w:rsidRPr="00E518B6">
        <w:rPr>
          <w:rFonts w:asciiTheme="majorHAnsi" w:hAnsiTheme="majorHAnsi" w:cstheme="majorHAnsi"/>
          <w:sz w:val="24"/>
          <w:szCs w:val="24"/>
        </w:rPr>
        <w:t>umber</w:t>
      </w:r>
      <w:r w:rsidRPr="00E518B6">
        <w:rPr>
          <w:rFonts w:asciiTheme="majorHAnsi" w:hAnsiTheme="majorHAnsi" w:cstheme="majorHAnsi"/>
          <w:sz w:val="24"/>
          <w:szCs w:val="24"/>
        </w:rPr>
        <w:t xml:space="preserve"> 1 of 2009 on Aviation and Law No. 10 of 1995 on Custom</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39"/>
      </w:r>
      <w:r w:rsidR="00A6632D" w:rsidRPr="00E518B6">
        <w:rPr>
          <w:rFonts w:asciiTheme="majorHAnsi" w:hAnsiTheme="majorHAnsi" w:cstheme="majorHAnsi"/>
          <w:sz w:val="24"/>
          <w:szCs w:val="24"/>
        </w:rPr>
        <w:t xml:space="preserve"> </w:t>
      </w:r>
      <w:r w:rsidR="0044645F" w:rsidRPr="00E518B6">
        <w:rPr>
          <w:rFonts w:asciiTheme="majorHAnsi" w:hAnsiTheme="majorHAnsi" w:cstheme="majorHAnsi"/>
          <w:sz w:val="24"/>
          <w:szCs w:val="24"/>
        </w:rPr>
        <w:t>Based on the above, the Minister has obtained attributed power to create Ministerial regulations. Therefore, Ministerial regulations that are produced are not considered delegated legislation. However, this issue has been highlighted by Jimly Asshiddiqie in his book Perihal Undang-Undang, stating that</w:t>
      </w:r>
      <w:r w:rsidR="00A6632D" w:rsidRPr="00E518B6">
        <w:rPr>
          <w:rFonts w:asciiTheme="majorHAnsi" w:hAnsiTheme="majorHAnsi" w:cstheme="majorHAnsi"/>
          <w:sz w:val="24"/>
          <w:szCs w:val="24"/>
        </w:rPr>
        <w:t xml:space="preserve">, </w:t>
      </w:r>
      <w:r w:rsidR="0044645F" w:rsidRPr="00E518B6">
        <w:rPr>
          <w:rFonts w:asciiTheme="majorHAnsi" w:hAnsiTheme="majorHAnsi" w:cstheme="majorHAnsi"/>
          <w:sz w:val="24"/>
          <w:szCs w:val="24"/>
        </w:rPr>
        <w:t xml:space="preserve">In the future, there should no longer be laws that delegate further regulation of specific legislative matters directly to the Minister, especially to the Director-General, who is </w:t>
      </w:r>
      <w:r w:rsidR="0044645F" w:rsidRPr="00E518B6">
        <w:rPr>
          <w:rFonts w:asciiTheme="majorHAnsi" w:hAnsiTheme="majorHAnsi" w:cstheme="majorHAnsi"/>
          <w:sz w:val="24"/>
          <w:szCs w:val="24"/>
        </w:rPr>
        <w:lastRenderedPageBreak/>
        <w:t>merely an administrative state official. While the Minister holds a political position, the legislative matters formulated jointly by the Parliament (DPR) and the President should be further elaborated not by the Minister but by the President as the head of government or the holder of state governance power. The President can establish implementing regulations in the form of Government Regulations (PP) or Presidential Regulations (Perpres)."</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40"/>
      </w:r>
    </w:p>
    <w:p w14:paraId="132B18B4" w14:textId="601E124C" w:rsidR="00D40285" w:rsidRPr="00E518B6" w:rsidRDefault="002C0DCC"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 xml:space="preserve">The Ministerial regulations that are created based on direct orders from the Law have resulted in incompatibility when used in the governance of the government. There are at least two arguments that support this. Firstly, in </w:t>
      </w:r>
      <w:r w:rsidR="00E518B6" w:rsidRPr="00E518B6">
        <w:rPr>
          <w:rFonts w:asciiTheme="majorHAnsi" w:hAnsiTheme="majorHAnsi" w:cstheme="majorHAnsi"/>
          <w:sz w:val="24"/>
          <w:szCs w:val="24"/>
        </w:rPr>
        <w:t>the presidential</w:t>
      </w:r>
      <w:r w:rsidRPr="00E518B6">
        <w:rPr>
          <w:rFonts w:asciiTheme="majorHAnsi" w:hAnsiTheme="majorHAnsi" w:cstheme="majorHAnsi"/>
          <w:sz w:val="24"/>
          <w:szCs w:val="24"/>
        </w:rPr>
        <w:t xml:space="preserve"> system of government, the position of </w:t>
      </w:r>
      <w:r w:rsidR="00E518B6" w:rsidRPr="00E518B6">
        <w:rPr>
          <w:rFonts w:asciiTheme="majorHAnsi" w:hAnsiTheme="majorHAnsi" w:cstheme="majorHAnsi"/>
          <w:sz w:val="24"/>
          <w:szCs w:val="24"/>
        </w:rPr>
        <w:t>Minister</w:t>
      </w:r>
      <w:r w:rsidRPr="00E518B6">
        <w:rPr>
          <w:rFonts w:asciiTheme="majorHAnsi" w:hAnsiTheme="majorHAnsi" w:cstheme="majorHAnsi"/>
          <w:sz w:val="24"/>
          <w:szCs w:val="24"/>
        </w:rPr>
        <w:t xml:space="preserve"> is that of the President's assistant. In the concept of the 1945 Constitution prior to the amendment, the State Government System emphasized in Article VI of the 1945 Constitution: State Ministers are assistants to the President; State Ministers are not accountable to the Parliament. The President appoints and dismisses State Ministers. Their position does not depend on the Parliament but rather on the President</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41"/>
      </w:r>
      <w:r w:rsidR="00A6632D" w:rsidRPr="00E518B6">
        <w:rPr>
          <w:rFonts w:asciiTheme="majorHAnsi" w:hAnsiTheme="majorHAnsi" w:cstheme="majorHAnsi"/>
          <w:sz w:val="24"/>
          <w:szCs w:val="24"/>
        </w:rPr>
        <w:t xml:space="preserve"> </w:t>
      </w:r>
      <w:r w:rsidRPr="00E518B6">
        <w:rPr>
          <w:rFonts w:asciiTheme="majorHAnsi" w:hAnsiTheme="majorHAnsi" w:cstheme="majorHAnsi"/>
          <w:sz w:val="24"/>
          <w:szCs w:val="24"/>
        </w:rPr>
        <w:t>Then, after the amendment of the 1945 Constitution,</w:t>
      </w:r>
      <w:r w:rsidR="001F23FA" w:rsidRPr="00E518B6">
        <w:rPr>
          <w:rStyle w:val="FootnoteReference"/>
          <w:rFonts w:asciiTheme="majorHAnsi" w:hAnsiTheme="majorHAnsi" w:cstheme="majorHAnsi"/>
          <w:sz w:val="24"/>
          <w:szCs w:val="24"/>
        </w:rPr>
        <w:footnoteReference w:id="42"/>
      </w:r>
      <w:r w:rsidRPr="00E518B6">
        <w:rPr>
          <w:rFonts w:asciiTheme="majorHAnsi" w:hAnsiTheme="majorHAnsi" w:cstheme="majorHAnsi"/>
          <w:sz w:val="24"/>
          <w:szCs w:val="24"/>
        </w:rPr>
        <w:t xml:space="preserve"> State Ministries are regulated in Article 17, paragraph (1) of the 1945 Constitution, which emphasizes that the President is assisted by State Ministers. Meanwhile, paragraph (2) states that State Ministers are appointed and dismissed by the President. As assistants to the President, State Ministers carry out tasks assigned by the President and receive a mandate to administer the government, which is essentially the power of the President. Thus, it can be said that Ministers in the governance of the government act as agents of the President since they receive a mandate from the President as the grantor of the </w:t>
      </w:r>
      <w:r w:rsidR="008D2472" w:rsidRPr="00E518B6">
        <w:rPr>
          <w:rFonts w:asciiTheme="majorHAnsi" w:hAnsiTheme="majorHAnsi" w:cstheme="majorHAnsi"/>
          <w:sz w:val="24"/>
          <w:szCs w:val="24"/>
        </w:rPr>
        <w:t>manda</w:t>
      </w:r>
      <w:r w:rsidR="007F7FAF" w:rsidRPr="00E518B6">
        <w:rPr>
          <w:rFonts w:asciiTheme="majorHAnsi" w:hAnsiTheme="majorHAnsi" w:cstheme="majorHAnsi"/>
          <w:sz w:val="24"/>
          <w:szCs w:val="24"/>
        </w:rPr>
        <w:t>t.</w:t>
      </w:r>
    </w:p>
    <w:p w14:paraId="775F6098" w14:textId="21433BA0" w:rsidR="00D40285" w:rsidRPr="00E518B6" w:rsidRDefault="00FA4CC0"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Secondly, as a mandate recipient, the Minister cannot receive attribution. According to H.D. Van Wijk Willem Konijnenbelt, attribution is defined as the granting of authority by the legislator to the government. The granting of authority is done by the original legislator, namely the parliament</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43"/>
      </w:r>
      <w:r w:rsidRPr="00E518B6">
        <w:rPr>
          <w:rFonts w:asciiTheme="majorHAnsi" w:hAnsiTheme="majorHAnsi" w:cstheme="majorHAnsi"/>
          <w:sz w:val="24"/>
          <w:szCs w:val="24"/>
        </w:rPr>
        <w:t xml:space="preserve"> Therefore, a mandate recipient cannot be given attribution; the government body that can be attributed is the mandator (mandans), in this case, the President. Granting attribution authority to the Minister to create Ministerial Regulations is truly inappropriate. On the other hand, if the Minister insists on the formation of Ministerial Regulations, it will result in an Act without authority, specifically in relation to the substance of authority or a particular matter</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44"/>
      </w:r>
    </w:p>
    <w:p w14:paraId="2B80E163" w14:textId="6DF4AF30" w:rsidR="007F324A" w:rsidRPr="00E518B6" w:rsidRDefault="00207694"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 xml:space="preserve">Further, according to Ridwan, delegating authority to an institution that legally cannot accept authority will not transform the position of the respective institution into one with authority, even with the basis of a "mandate" from the law. Legal actions or the </w:t>
      </w:r>
      <w:r w:rsidRPr="00E518B6">
        <w:rPr>
          <w:rFonts w:asciiTheme="majorHAnsi" w:hAnsiTheme="majorHAnsi" w:cstheme="majorHAnsi"/>
          <w:sz w:val="24"/>
          <w:szCs w:val="24"/>
        </w:rPr>
        <w:lastRenderedPageBreak/>
        <w:t>enactment of legislation (</w:t>
      </w:r>
      <w:r w:rsidRPr="00E518B6">
        <w:rPr>
          <w:rFonts w:asciiTheme="majorHAnsi" w:hAnsiTheme="majorHAnsi" w:cstheme="majorHAnsi"/>
          <w:i/>
          <w:iCs/>
          <w:sz w:val="24"/>
          <w:szCs w:val="24"/>
        </w:rPr>
        <w:t>regelgeving</w:t>
      </w:r>
      <w:r w:rsidRPr="00E518B6">
        <w:rPr>
          <w:rFonts w:asciiTheme="majorHAnsi" w:hAnsiTheme="majorHAnsi" w:cstheme="majorHAnsi"/>
          <w:sz w:val="24"/>
          <w:szCs w:val="24"/>
        </w:rPr>
        <w:t>) by an unauthorized organ (</w:t>
      </w:r>
      <w:r w:rsidRPr="00E518B6">
        <w:rPr>
          <w:rFonts w:asciiTheme="majorHAnsi" w:hAnsiTheme="majorHAnsi" w:cstheme="majorHAnsi"/>
          <w:i/>
          <w:iCs/>
          <w:sz w:val="24"/>
          <w:szCs w:val="24"/>
        </w:rPr>
        <w:t>onbevoegd</w:t>
      </w:r>
      <w:r w:rsidRPr="00E518B6">
        <w:rPr>
          <w:rFonts w:asciiTheme="majorHAnsi" w:hAnsiTheme="majorHAnsi" w:cstheme="majorHAnsi"/>
          <w:sz w:val="24"/>
          <w:szCs w:val="24"/>
        </w:rPr>
        <w:t>) entails the consequence that the action or regulation created is deemed legally null and void (</w:t>
      </w:r>
      <w:r w:rsidRPr="00E518B6">
        <w:rPr>
          <w:rFonts w:asciiTheme="majorHAnsi" w:hAnsiTheme="majorHAnsi" w:cstheme="majorHAnsi"/>
          <w:i/>
          <w:iCs/>
          <w:sz w:val="24"/>
          <w:szCs w:val="24"/>
        </w:rPr>
        <w:t>van rechtswege nietig</w:t>
      </w:r>
      <w:r w:rsidRPr="00E518B6">
        <w:rPr>
          <w:rFonts w:asciiTheme="majorHAnsi" w:hAnsiTheme="majorHAnsi" w:cstheme="majorHAnsi"/>
          <w:sz w:val="24"/>
          <w:szCs w:val="24"/>
        </w:rPr>
        <w:t>)</w:t>
      </w:r>
      <w:r w:rsidR="00D40285" w:rsidRPr="00E518B6">
        <w:rPr>
          <w:rFonts w:asciiTheme="majorHAnsi" w:hAnsiTheme="majorHAnsi" w:cstheme="majorHAnsi"/>
          <w:i/>
          <w:iCs/>
          <w:sz w:val="24"/>
          <w:szCs w:val="24"/>
        </w:rPr>
        <w:t>.</w:t>
      </w:r>
      <w:r w:rsidR="00D40285" w:rsidRPr="00E518B6">
        <w:rPr>
          <w:rStyle w:val="FootnoteReference"/>
          <w:rFonts w:asciiTheme="majorHAnsi" w:hAnsiTheme="majorHAnsi" w:cstheme="majorHAnsi"/>
          <w:i/>
          <w:iCs/>
          <w:sz w:val="24"/>
          <w:szCs w:val="24"/>
        </w:rPr>
        <w:footnoteReference w:id="45"/>
      </w:r>
      <w:r w:rsidR="00D40285" w:rsidRPr="00E518B6">
        <w:rPr>
          <w:rFonts w:asciiTheme="majorHAnsi" w:hAnsiTheme="majorHAnsi" w:cstheme="majorHAnsi"/>
          <w:sz w:val="24"/>
          <w:szCs w:val="24"/>
        </w:rPr>
        <w:t xml:space="preserve"> </w:t>
      </w:r>
      <w:r w:rsidR="007F324A" w:rsidRPr="00E518B6">
        <w:rPr>
          <w:rFonts w:asciiTheme="majorHAnsi" w:hAnsiTheme="majorHAnsi" w:cstheme="majorHAnsi"/>
          <w:sz w:val="24"/>
          <w:szCs w:val="24"/>
        </w:rPr>
        <w:t>Based on these reasons, there is an incompatibility in the enforcement of Ministerial regulations in the governance if those regulations are formed based on the attributed mandate from the law. However, it is not appropriate for Ministerial regulations to be permanently abolished, and government regulations are sufficient with the President's regulations as recommended by Sofyan Apendi's research. This is because Ministerial regulations can be formed based on the delegated power originating from the President through Government Regulations and Presidential Regulations. In other words, Ministerial regulations provide further provisions than Government Regulations and Presidential Regulations.</w:t>
      </w:r>
    </w:p>
    <w:p w14:paraId="7CF2C300" w14:textId="625E6493" w:rsidR="00A66C45" w:rsidRPr="00E518B6" w:rsidRDefault="00971524"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Ministerial regulation plays a crucial role in the effectiveness of government administration because not all matters that are substantively regulated in higher-level legislation can be directly implemented in government administration</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46"/>
      </w:r>
      <w:r w:rsidRPr="00E518B6">
        <w:rPr>
          <w:rFonts w:asciiTheme="majorHAnsi" w:hAnsiTheme="majorHAnsi" w:cstheme="majorHAnsi"/>
          <w:sz w:val="24"/>
          <w:szCs w:val="24"/>
        </w:rPr>
        <w:t xml:space="preserve"> </w:t>
      </w:r>
      <w:r w:rsidR="00A66C45" w:rsidRPr="00E518B6">
        <w:rPr>
          <w:rFonts w:asciiTheme="majorHAnsi" w:hAnsiTheme="majorHAnsi" w:cstheme="majorHAnsi"/>
          <w:sz w:val="24"/>
          <w:szCs w:val="24"/>
        </w:rPr>
        <w:t>However, due to the significant leeway given to ministries and/or Ministers in creating Ministerial regulations, there is a potential for overlapping and the proliferation of regulatory obesity.</w:t>
      </w:r>
    </w:p>
    <w:p w14:paraId="46016FCC" w14:textId="47D255C6" w:rsidR="00D40285" w:rsidRPr="00E518B6" w:rsidRDefault="00A66C45" w:rsidP="00CE0A71">
      <w:pPr>
        <w:spacing w:after="120" w:line="240" w:lineRule="auto"/>
        <w:jc w:val="both"/>
        <w:rPr>
          <w:rFonts w:asciiTheme="majorHAnsi" w:hAnsiTheme="majorHAnsi" w:cstheme="majorHAnsi"/>
          <w:sz w:val="24"/>
          <w:szCs w:val="24"/>
        </w:rPr>
      </w:pPr>
      <w:r w:rsidRPr="00E518B6">
        <w:rPr>
          <w:rFonts w:asciiTheme="majorHAnsi" w:hAnsiTheme="majorHAnsi" w:cstheme="majorHAnsi"/>
          <w:sz w:val="24"/>
          <w:szCs w:val="24"/>
        </w:rPr>
        <w:t>In proper reasoning, Ministerial regulations are made to execute the authority of the President, in line with the position of the Minister as the President's representative. Therefore, such regulations should only serve as implementing regulations (</w:t>
      </w:r>
      <w:r w:rsidRPr="00E518B6">
        <w:rPr>
          <w:rFonts w:asciiTheme="majorHAnsi" w:hAnsiTheme="majorHAnsi" w:cstheme="majorHAnsi"/>
          <w:i/>
          <w:iCs/>
          <w:sz w:val="24"/>
          <w:szCs w:val="24"/>
        </w:rPr>
        <w:t>uitvoeringsbepalingen</w:t>
      </w:r>
      <w:r w:rsidRPr="00E518B6">
        <w:rPr>
          <w:rFonts w:asciiTheme="majorHAnsi" w:hAnsiTheme="majorHAnsi" w:cstheme="majorHAnsi"/>
          <w:sz w:val="24"/>
          <w:szCs w:val="24"/>
        </w:rPr>
        <w:t xml:space="preserve">) that are more operationally oriented than Government Regulations (PP) or Presidential Regulations (Perpres). For example, Article 7 of Government Regulation No. 57 of 2021 concerning National Education Standards states, "Further provisions regarding graduate competency standards are regulated by Ministerial Regulation," and Article 30(2) of Presidential Regulation No. 65 of 2020 concerning the Ministry of Women's Empowerment and Child Protection states, "The business process between organizational units within the ministry as referred to in paragraph (1) is regulated by Ministerial Regulation." Furthermore, in addition </w:t>
      </w:r>
      <w:r w:rsidR="00E518B6" w:rsidRPr="00E518B6">
        <w:rPr>
          <w:rFonts w:asciiTheme="majorHAnsi" w:hAnsiTheme="majorHAnsi" w:cstheme="majorHAnsi"/>
          <w:sz w:val="24"/>
          <w:szCs w:val="24"/>
        </w:rPr>
        <w:t>to</w:t>
      </w:r>
      <w:r w:rsidRPr="00E518B6">
        <w:rPr>
          <w:rFonts w:asciiTheme="majorHAnsi" w:hAnsiTheme="majorHAnsi" w:cstheme="majorHAnsi"/>
          <w:sz w:val="24"/>
          <w:szCs w:val="24"/>
        </w:rPr>
        <w:t xml:space="preserve"> implementing regulations, the substance of Ministerial regulations is also limited to the respective fields or areas under the responsibility of each ministry</w:t>
      </w:r>
      <w:r w:rsidR="00D40285" w:rsidRPr="00E518B6">
        <w:rPr>
          <w:rFonts w:asciiTheme="majorHAnsi" w:hAnsiTheme="majorHAnsi" w:cstheme="majorHAnsi"/>
          <w:sz w:val="24"/>
          <w:szCs w:val="24"/>
        </w:rPr>
        <w:t>.</w:t>
      </w:r>
      <w:r w:rsidR="00D40285" w:rsidRPr="00E518B6">
        <w:rPr>
          <w:rStyle w:val="FootnoteReference"/>
          <w:rFonts w:asciiTheme="majorHAnsi" w:hAnsiTheme="majorHAnsi" w:cstheme="majorHAnsi"/>
          <w:sz w:val="24"/>
          <w:szCs w:val="24"/>
        </w:rPr>
        <w:footnoteReference w:id="47"/>
      </w:r>
    </w:p>
    <w:p w14:paraId="5852CC24" w14:textId="2C83D3A7" w:rsidR="009456D0" w:rsidRPr="00E518B6" w:rsidRDefault="009456D0" w:rsidP="00E518B6">
      <w:pPr>
        <w:spacing w:after="240" w:line="240" w:lineRule="auto"/>
        <w:jc w:val="both"/>
        <w:rPr>
          <w:rFonts w:asciiTheme="majorHAnsi" w:hAnsiTheme="majorHAnsi" w:cstheme="majorHAnsi"/>
          <w:sz w:val="24"/>
          <w:szCs w:val="24"/>
        </w:rPr>
      </w:pPr>
      <w:r w:rsidRPr="00E518B6">
        <w:rPr>
          <w:rFonts w:asciiTheme="majorHAnsi" w:hAnsiTheme="majorHAnsi" w:cstheme="majorHAnsi"/>
          <w:sz w:val="24"/>
          <w:szCs w:val="24"/>
        </w:rPr>
        <w:t>Therefore, what Saldi Isra recommends, that the simplest way is to remove the phrase formed based on authority</w:t>
      </w:r>
      <w:r w:rsidR="00A6632D" w:rsidRPr="00E518B6">
        <w:rPr>
          <w:rFonts w:asciiTheme="majorHAnsi" w:hAnsiTheme="majorHAnsi" w:cstheme="majorHAnsi"/>
          <w:sz w:val="24"/>
          <w:szCs w:val="24"/>
        </w:rPr>
        <w:t xml:space="preserve"> </w:t>
      </w:r>
      <w:r w:rsidRPr="00E518B6">
        <w:rPr>
          <w:rFonts w:asciiTheme="majorHAnsi" w:hAnsiTheme="majorHAnsi" w:cstheme="majorHAnsi"/>
          <w:sz w:val="24"/>
          <w:szCs w:val="24"/>
        </w:rPr>
        <w:t xml:space="preserve">as stated in Article 8 paragraph (2) of Law No. 12 of 2011 </w:t>
      </w:r>
      <w:r w:rsidR="00D40285" w:rsidRPr="00E518B6">
        <w:rPr>
          <w:rStyle w:val="FootnoteReference"/>
          <w:rFonts w:asciiTheme="majorHAnsi" w:hAnsiTheme="majorHAnsi" w:cstheme="majorHAnsi"/>
          <w:sz w:val="24"/>
          <w:szCs w:val="24"/>
        </w:rPr>
        <w:footnoteReference w:id="48"/>
      </w:r>
      <w:r w:rsidR="00D40285" w:rsidRPr="00E518B6">
        <w:rPr>
          <w:rFonts w:asciiTheme="majorHAnsi" w:hAnsiTheme="majorHAnsi" w:cstheme="majorHAnsi"/>
          <w:sz w:val="24"/>
          <w:szCs w:val="24"/>
        </w:rPr>
        <w:t xml:space="preserve"> </w:t>
      </w:r>
      <w:r w:rsidRPr="00E518B6">
        <w:rPr>
          <w:rFonts w:asciiTheme="majorHAnsi" w:hAnsiTheme="majorHAnsi" w:cstheme="majorHAnsi"/>
          <w:sz w:val="24"/>
          <w:szCs w:val="24"/>
        </w:rPr>
        <w:t xml:space="preserve">Jo. Law No. 15 of </w:t>
      </w:r>
      <w:r w:rsidR="00E518B6" w:rsidRPr="00E518B6">
        <w:rPr>
          <w:rFonts w:asciiTheme="majorHAnsi" w:hAnsiTheme="majorHAnsi" w:cstheme="majorHAnsi"/>
          <w:sz w:val="24"/>
          <w:szCs w:val="24"/>
        </w:rPr>
        <w:t>2019</w:t>
      </w:r>
      <w:r w:rsidRPr="00E518B6">
        <w:rPr>
          <w:rFonts w:asciiTheme="majorHAnsi" w:hAnsiTheme="majorHAnsi" w:cstheme="majorHAnsi"/>
          <w:sz w:val="24"/>
          <w:szCs w:val="24"/>
        </w:rPr>
        <w:t xml:space="preserve"> is indeed appropriate to eliminate the practice of attributing the authority to Ministers to create Ministerial regulations.</w:t>
      </w:r>
      <w:r w:rsidR="00A6632D" w:rsidRPr="00E518B6">
        <w:rPr>
          <w:rFonts w:asciiTheme="majorHAnsi" w:hAnsiTheme="majorHAnsi" w:cstheme="majorHAnsi"/>
          <w:sz w:val="24"/>
          <w:szCs w:val="24"/>
        </w:rPr>
        <w:t xml:space="preserve"> </w:t>
      </w:r>
      <w:r w:rsidRPr="00E518B6">
        <w:rPr>
          <w:rFonts w:asciiTheme="majorHAnsi" w:hAnsiTheme="majorHAnsi" w:cstheme="majorHAnsi"/>
          <w:sz w:val="24"/>
          <w:szCs w:val="24"/>
        </w:rPr>
        <w:t xml:space="preserve">Thus, in order to address the phenomenon of regulatory obesity, particularly with regards to Ministerial regulations, there is a need for regulation in the formation of Ministerial regulations. As a recommendation from this article, the author proposes a revision to Law No. 15 of 2019 </w:t>
      </w:r>
      <w:r w:rsidRPr="00E518B6">
        <w:rPr>
          <w:rFonts w:asciiTheme="majorHAnsi" w:hAnsiTheme="majorHAnsi" w:cstheme="majorHAnsi"/>
          <w:sz w:val="24"/>
          <w:szCs w:val="24"/>
        </w:rPr>
        <w:lastRenderedPageBreak/>
        <w:t>on the Formation of Legislation, specifically in Article 8 paragraph (2), by removing the clause "formed based on authority".</w:t>
      </w:r>
    </w:p>
    <w:p w14:paraId="01AC8431" w14:textId="77777777" w:rsidR="00E518E6" w:rsidRPr="00E518B6" w:rsidRDefault="006E45B0" w:rsidP="00CE0A71">
      <w:pPr>
        <w:pStyle w:val="Heading1"/>
        <w:rPr>
          <w:rFonts w:asciiTheme="majorHAnsi" w:hAnsiTheme="majorHAnsi" w:cstheme="majorHAnsi"/>
        </w:rPr>
      </w:pPr>
      <w:r w:rsidRPr="00E518B6">
        <w:rPr>
          <w:rFonts w:asciiTheme="majorHAnsi" w:hAnsiTheme="majorHAnsi" w:cstheme="majorHAnsi"/>
        </w:rPr>
        <w:t>CONCLUSION</w:t>
      </w:r>
    </w:p>
    <w:p w14:paraId="2CA4C2BD" w14:textId="24B4179B" w:rsidR="00A1125D" w:rsidRPr="00E518B6" w:rsidRDefault="00A6632D" w:rsidP="00E518B6">
      <w:pPr>
        <w:shd w:val="clear" w:color="auto" w:fill="FFFFFF"/>
        <w:spacing w:after="240" w:line="240" w:lineRule="auto"/>
        <w:jc w:val="both"/>
        <w:rPr>
          <w:rFonts w:asciiTheme="majorHAnsi" w:hAnsiTheme="majorHAnsi" w:cstheme="majorHAnsi"/>
          <w:sz w:val="24"/>
          <w:szCs w:val="24"/>
        </w:rPr>
      </w:pPr>
      <w:r w:rsidRPr="00E518B6">
        <w:rPr>
          <w:rFonts w:asciiTheme="majorHAnsi" w:hAnsiTheme="majorHAnsi" w:cstheme="majorHAnsi"/>
          <w:sz w:val="24"/>
          <w:szCs w:val="24"/>
        </w:rPr>
        <w:t xml:space="preserve">The </w:t>
      </w:r>
      <w:r w:rsidR="00144B90" w:rsidRPr="00E518B6">
        <w:rPr>
          <w:rFonts w:asciiTheme="majorHAnsi" w:hAnsiTheme="majorHAnsi" w:cstheme="majorHAnsi"/>
          <w:sz w:val="24"/>
          <w:szCs w:val="24"/>
        </w:rPr>
        <w:t>position of Ministerial regulations in the Indonesian legislative system is categorized as Delegated legislation or subordinate legislation. Ministerial regulations are created to implement Government Regulations or Presidential Regulations.</w:t>
      </w:r>
      <w:r w:rsidRPr="00E518B6">
        <w:rPr>
          <w:rFonts w:asciiTheme="majorHAnsi" w:hAnsiTheme="majorHAnsi" w:cstheme="majorHAnsi"/>
          <w:sz w:val="24"/>
          <w:szCs w:val="24"/>
        </w:rPr>
        <w:t xml:space="preserve"> A</w:t>
      </w:r>
      <w:r w:rsidR="00144B90" w:rsidRPr="00E518B6">
        <w:rPr>
          <w:rFonts w:asciiTheme="majorHAnsi" w:hAnsiTheme="majorHAnsi" w:cstheme="majorHAnsi"/>
          <w:sz w:val="24"/>
          <w:szCs w:val="24"/>
        </w:rPr>
        <w:t>s a result of the wide-ranging authority of Ministers to create regulations based on their independent authority and/or ministry, an anomaly has emerged, namely the enactment of laws that grant attribution power to Ministers and/or Ministries to directly create Ministerial regulations. This has resulted in incompatibility in the governance process, as attribution power cannot be exercised by Ministers as assistants and representatives of the President. Therefore, in order to regulate the regulatory framework in Indonesia, the scope of Ministerial regulation formation should be narrowed down by removing the phrase "formed based on authority" as stated in Article 8 paragraph (2) of Law No. 12 of 2011 Jo. Law No. 15 of 2019 on the Formation of Legislation.</w:t>
      </w:r>
    </w:p>
    <w:p w14:paraId="71A0CEF1" w14:textId="412FF986" w:rsidR="007F7FAF" w:rsidRPr="00E518B6" w:rsidRDefault="006E45B0" w:rsidP="00CE0A71">
      <w:pPr>
        <w:pStyle w:val="Heading1"/>
        <w:ind w:hanging="2"/>
        <w:jc w:val="both"/>
        <w:rPr>
          <w:rFonts w:asciiTheme="majorHAnsi" w:hAnsiTheme="majorHAnsi" w:cstheme="majorHAnsi"/>
        </w:rPr>
      </w:pPr>
      <w:bookmarkStart w:id="4" w:name="_oy9rt3gp7zyl" w:colFirst="0" w:colLast="0"/>
      <w:bookmarkStart w:id="5" w:name="_z7e4ozwspx9p" w:colFirst="0" w:colLast="0"/>
      <w:bookmarkEnd w:id="4"/>
      <w:bookmarkEnd w:id="5"/>
      <w:r w:rsidRPr="00E518B6">
        <w:rPr>
          <w:rFonts w:asciiTheme="majorHAnsi" w:hAnsiTheme="majorHAnsi" w:cstheme="majorHAnsi"/>
        </w:rPr>
        <w:t xml:space="preserve">REFERENCES </w:t>
      </w:r>
    </w:p>
    <w:p w14:paraId="258DE156" w14:textId="22F855B1" w:rsidR="007763A7" w:rsidRPr="00E518B6" w:rsidRDefault="00FB477D"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 </w:t>
      </w:r>
      <w:r w:rsidR="009229E8" w:rsidRPr="00E518B6">
        <w:rPr>
          <w:rFonts w:asciiTheme="majorHAnsi" w:hAnsiTheme="majorHAnsi" w:cstheme="majorHAnsi"/>
          <w:sz w:val="24"/>
          <w:szCs w:val="24"/>
        </w:rPr>
        <w:fldChar w:fldCharType="begin"/>
      </w:r>
      <w:r w:rsidR="009229E8" w:rsidRPr="00E518B6">
        <w:rPr>
          <w:rFonts w:asciiTheme="majorHAnsi" w:hAnsiTheme="majorHAnsi" w:cstheme="majorHAnsi"/>
          <w:sz w:val="24"/>
          <w:szCs w:val="24"/>
        </w:rPr>
        <w:instrText xml:space="preserve"> ADDIN ZOTERO_BIBL {"uncited":[],"omitted":[],"custom":[]} CSL_BIBLIOGRAPHY </w:instrText>
      </w:r>
      <w:r w:rsidR="009229E8" w:rsidRPr="00E518B6">
        <w:rPr>
          <w:rFonts w:asciiTheme="majorHAnsi" w:hAnsiTheme="majorHAnsi" w:cstheme="majorHAnsi"/>
          <w:sz w:val="24"/>
          <w:szCs w:val="24"/>
        </w:rPr>
        <w:fldChar w:fldCharType="separate"/>
      </w:r>
      <w:r w:rsidR="007763A7" w:rsidRPr="00E518B6">
        <w:rPr>
          <w:rFonts w:asciiTheme="majorHAnsi" w:hAnsiTheme="majorHAnsi" w:cstheme="majorHAnsi"/>
          <w:sz w:val="24"/>
          <w:szCs w:val="24"/>
        </w:rPr>
        <w:t xml:space="preserve">Aditya, Zaka Firma, dan Muhammad Reza Winata. “Rekonstruksi Hierarki Peraturan Perundang-Undangan Di Indonesia (Reconstruction </w:t>
      </w:r>
      <w:r w:rsidR="00E518B6" w:rsidRPr="00E518B6">
        <w:rPr>
          <w:rFonts w:asciiTheme="majorHAnsi" w:hAnsiTheme="majorHAnsi" w:cstheme="majorHAnsi"/>
          <w:sz w:val="24"/>
          <w:szCs w:val="24"/>
        </w:rPr>
        <w:t>of</w:t>
      </w:r>
      <w:r w:rsidR="007763A7" w:rsidRPr="00E518B6">
        <w:rPr>
          <w:rFonts w:asciiTheme="majorHAnsi" w:hAnsiTheme="majorHAnsi" w:cstheme="majorHAnsi"/>
          <w:sz w:val="24"/>
          <w:szCs w:val="24"/>
        </w:rPr>
        <w:t xml:space="preserve"> The Hierarchy </w:t>
      </w:r>
      <w:r w:rsidR="00E518B6" w:rsidRPr="00E518B6">
        <w:rPr>
          <w:rFonts w:asciiTheme="majorHAnsi" w:hAnsiTheme="majorHAnsi" w:cstheme="majorHAnsi"/>
          <w:sz w:val="24"/>
          <w:szCs w:val="24"/>
        </w:rPr>
        <w:t>of</w:t>
      </w:r>
      <w:r w:rsidR="007763A7" w:rsidRPr="00E518B6">
        <w:rPr>
          <w:rFonts w:asciiTheme="majorHAnsi" w:hAnsiTheme="majorHAnsi" w:cstheme="majorHAnsi"/>
          <w:sz w:val="24"/>
          <w:szCs w:val="24"/>
        </w:rPr>
        <w:t xml:space="preserve"> Legislation In Indonesia).” </w:t>
      </w:r>
      <w:r w:rsidR="007763A7" w:rsidRPr="00E518B6">
        <w:rPr>
          <w:rFonts w:asciiTheme="majorHAnsi" w:hAnsiTheme="majorHAnsi" w:cstheme="majorHAnsi"/>
          <w:i/>
          <w:iCs/>
          <w:sz w:val="24"/>
          <w:szCs w:val="24"/>
        </w:rPr>
        <w:t>Negara Hukum: Membangun Hukum Untuk Keadilan Dan Kesejahteraan</w:t>
      </w:r>
      <w:r w:rsidR="007763A7" w:rsidRPr="00E518B6">
        <w:rPr>
          <w:rFonts w:asciiTheme="majorHAnsi" w:hAnsiTheme="majorHAnsi" w:cstheme="majorHAnsi"/>
          <w:sz w:val="24"/>
          <w:szCs w:val="24"/>
        </w:rPr>
        <w:t xml:space="preserve"> 9, no. 1 (1 Juni 2018). https://doi.org/10.22212/jnh.v9i1.976.</w:t>
      </w:r>
    </w:p>
    <w:p w14:paraId="4F0A71C3" w14:textId="030645AC"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 “Rekonstruksi Hierarki Peraturan Perundang-Undangan Di Indonesia (Reconstruction </w:t>
      </w:r>
      <w:r w:rsidR="00E518B6" w:rsidRPr="00E518B6">
        <w:rPr>
          <w:rFonts w:asciiTheme="majorHAnsi" w:hAnsiTheme="majorHAnsi" w:cstheme="majorHAnsi"/>
          <w:sz w:val="24"/>
          <w:szCs w:val="24"/>
        </w:rPr>
        <w:t>of</w:t>
      </w:r>
      <w:r w:rsidRPr="00E518B6">
        <w:rPr>
          <w:rFonts w:asciiTheme="majorHAnsi" w:hAnsiTheme="majorHAnsi" w:cstheme="majorHAnsi"/>
          <w:sz w:val="24"/>
          <w:szCs w:val="24"/>
        </w:rPr>
        <w:t xml:space="preserve"> The Hierarchy </w:t>
      </w:r>
      <w:r w:rsidR="00E518B6" w:rsidRPr="00E518B6">
        <w:rPr>
          <w:rFonts w:asciiTheme="majorHAnsi" w:hAnsiTheme="majorHAnsi" w:cstheme="majorHAnsi"/>
          <w:sz w:val="24"/>
          <w:szCs w:val="24"/>
        </w:rPr>
        <w:t>of</w:t>
      </w:r>
      <w:r w:rsidRPr="00E518B6">
        <w:rPr>
          <w:rFonts w:asciiTheme="majorHAnsi" w:hAnsiTheme="majorHAnsi" w:cstheme="majorHAnsi"/>
          <w:sz w:val="24"/>
          <w:szCs w:val="24"/>
        </w:rPr>
        <w:t xml:space="preserve"> Legislation </w:t>
      </w:r>
      <w:r w:rsidR="00E518B6" w:rsidRPr="00E518B6">
        <w:rPr>
          <w:rFonts w:asciiTheme="majorHAnsi" w:hAnsiTheme="majorHAnsi" w:cstheme="majorHAnsi"/>
          <w:sz w:val="24"/>
          <w:szCs w:val="24"/>
        </w:rPr>
        <w:t>in</w:t>
      </w:r>
      <w:r w:rsidRPr="00E518B6">
        <w:rPr>
          <w:rFonts w:asciiTheme="majorHAnsi" w:hAnsiTheme="majorHAnsi" w:cstheme="majorHAnsi"/>
          <w:sz w:val="24"/>
          <w:szCs w:val="24"/>
        </w:rPr>
        <w:t xml:space="preserve"> Indonesia) | Aditya | Negara Hukum: Membangun Hukum Untuk Keadilan Dan Kesejahteraan,” 24 September 2018. https://doi.org/10.22212/jnh.v9i1.976.</w:t>
      </w:r>
    </w:p>
    <w:p w14:paraId="5EBB37A8"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Admin. “Kajian Reformasi Regulasi di Indonesia: Pokok Permasalahan dan Strategi Penanganannya.” </w:t>
      </w:r>
      <w:r w:rsidRPr="00E518B6">
        <w:rPr>
          <w:rFonts w:asciiTheme="majorHAnsi" w:hAnsiTheme="majorHAnsi" w:cstheme="majorHAnsi"/>
          <w:i/>
          <w:iCs/>
          <w:sz w:val="24"/>
          <w:szCs w:val="24"/>
        </w:rPr>
        <w:t>pshk.or.id</w:t>
      </w:r>
      <w:r w:rsidRPr="00E518B6">
        <w:rPr>
          <w:rFonts w:asciiTheme="majorHAnsi" w:hAnsiTheme="majorHAnsi" w:cstheme="majorHAnsi"/>
          <w:sz w:val="24"/>
          <w:szCs w:val="24"/>
        </w:rPr>
        <w:t xml:space="preserve"> (blog), 5 November 2019. https://pshk.or.id/penelitian/kajian-reformasi-regulasi-di-indonesia-pokok-permasalahan-dan-strategi-penanganannya/.</w:t>
      </w:r>
    </w:p>
    <w:p w14:paraId="4F52FE7F"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Akmal, Diya Ul, dan Dea Linta Arlianti. “Dinamika Perlindungan Hak Konstitusional Warga Negara Dalam Implementasi Pengujian Undang-Undang Di Mahkamah Konstitusi.” </w:t>
      </w:r>
      <w:r w:rsidRPr="00E518B6">
        <w:rPr>
          <w:rFonts w:asciiTheme="majorHAnsi" w:hAnsiTheme="majorHAnsi" w:cstheme="majorHAnsi"/>
          <w:i/>
          <w:iCs/>
          <w:sz w:val="24"/>
          <w:szCs w:val="24"/>
        </w:rPr>
        <w:t>Mulawarman Law Review</w:t>
      </w:r>
      <w:r w:rsidRPr="00E518B6">
        <w:rPr>
          <w:rFonts w:asciiTheme="majorHAnsi" w:hAnsiTheme="majorHAnsi" w:cstheme="majorHAnsi"/>
          <w:sz w:val="24"/>
          <w:szCs w:val="24"/>
        </w:rPr>
        <w:t>, 30 Juni 2022, 49–70. https://doi.org/10.30872/mulrev.v7i1.780.</w:t>
      </w:r>
    </w:p>
    <w:p w14:paraId="3DFA3F81"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Al, Ahmad Mukri Aji et. “The Ministerial Regulation Position in the Hierarchy of Legislation in the Indonesian Legal System.” </w:t>
      </w:r>
      <w:r w:rsidRPr="00E518B6">
        <w:rPr>
          <w:rFonts w:asciiTheme="majorHAnsi" w:hAnsiTheme="majorHAnsi" w:cstheme="majorHAnsi"/>
          <w:i/>
          <w:iCs/>
          <w:sz w:val="24"/>
          <w:szCs w:val="24"/>
        </w:rPr>
        <w:t>International Journal of Advanced Science and Technology</w:t>
      </w:r>
      <w:r w:rsidRPr="00E518B6">
        <w:rPr>
          <w:rFonts w:asciiTheme="majorHAnsi" w:hAnsiTheme="majorHAnsi" w:cstheme="majorHAnsi"/>
          <w:sz w:val="24"/>
          <w:szCs w:val="24"/>
        </w:rPr>
        <w:t xml:space="preserve"> 29, no. 2 (13 Januari 2020): 2214–24.</w:t>
      </w:r>
    </w:p>
    <w:p w14:paraId="44630AE2"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Amin, Rizal Irvan, dan Achmad Achmad. “Mengurai Permasalahan Peraturan Perundang-Undangan Di Indonesia.” </w:t>
      </w:r>
      <w:r w:rsidRPr="00E518B6">
        <w:rPr>
          <w:rFonts w:asciiTheme="majorHAnsi" w:hAnsiTheme="majorHAnsi" w:cstheme="majorHAnsi"/>
          <w:i/>
          <w:iCs/>
          <w:sz w:val="24"/>
          <w:szCs w:val="24"/>
        </w:rPr>
        <w:t>RES PUBLICA</w:t>
      </w:r>
      <w:r w:rsidRPr="00E518B6">
        <w:rPr>
          <w:rFonts w:asciiTheme="majorHAnsi" w:hAnsiTheme="majorHAnsi" w:cstheme="majorHAnsi"/>
          <w:sz w:val="24"/>
          <w:szCs w:val="24"/>
        </w:rPr>
        <w:t xml:space="preserve"> 4, no. 2 (23 Desember 2020): 205–20.</w:t>
      </w:r>
    </w:p>
    <w:p w14:paraId="26A563D5"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Angelova, Mariyana, Thomas König, dan Sven-Oliver Proksch. “Responsibility Attribution in Coalition Governments: Evidence from Germany.” </w:t>
      </w:r>
      <w:r w:rsidRPr="00E518B6">
        <w:rPr>
          <w:rFonts w:asciiTheme="majorHAnsi" w:hAnsiTheme="majorHAnsi" w:cstheme="majorHAnsi"/>
          <w:i/>
          <w:iCs/>
          <w:sz w:val="24"/>
          <w:szCs w:val="24"/>
        </w:rPr>
        <w:t>Electoral Studies</w:t>
      </w:r>
      <w:r w:rsidRPr="00E518B6">
        <w:rPr>
          <w:rFonts w:asciiTheme="majorHAnsi" w:hAnsiTheme="majorHAnsi" w:cstheme="majorHAnsi"/>
          <w:sz w:val="24"/>
          <w:szCs w:val="24"/>
        </w:rPr>
        <w:t xml:space="preserve"> 43 (1 September 2016): 133–49. https://doi.org/10.1016/j.electstud.2016.06.004.</w:t>
      </w:r>
    </w:p>
    <w:p w14:paraId="31F3B327"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Anggono, Bayu Dwi. “Tertib Jenis, Hierarki, dan Materi Muatan Peraturan Perundang-Undangan: Permasalahan dan Solusinya.” </w:t>
      </w:r>
      <w:r w:rsidRPr="00E518B6">
        <w:rPr>
          <w:rFonts w:asciiTheme="majorHAnsi" w:hAnsiTheme="majorHAnsi" w:cstheme="majorHAnsi"/>
          <w:i/>
          <w:iCs/>
          <w:sz w:val="24"/>
          <w:szCs w:val="24"/>
        </w:rPr>
        <w:t>Masalah-Masalah Hukum</w:t>
      </w:r>
      <w:r w:rsidRPr="00E518B6">
        <w:rPr>
          <w:rFonts w:asciiTheme="majorHAnsi" w:hAnsiTheme="majorHAnsi" w:cstheme="majorHAnsi"/>
          <w:sz w:val="24"/>
          <w:szCs w:val="24"/>
        </w:rPr>
        <w:t xml:space="preserve"> 47, no. 1 (30 Januari 2018): 1–9. https://doi.org/10.14710/mmh.47.1.2018.1-9.</w:t>
      </w:r>
    </w:p>
    <w:p w14:paraId="6D2CB1A9"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lastRenderedPageBreak/>
        <w:t xml:space="preserve">Apendi, Sofyan. “Ketiadaan Peraturan Menteri Dalam Hierarki Peraturan Perundang-Undangan Nasional Dan Implikasinya Terhadap Penataan Regulasi Dalam Sistem Hukum Nasiona (Studi Pengaturan Peraturan Menteri dalam Hierarki Peraturan Perundang-Undangan).” </w:t>
      </w:r>
      <w:r w:rsidRPr="00E518B6">
        <w:rPr>
          <w:rFonts w:asciiTheme="majorHAnsi" w:hAnsiTheme="majorHAnsi" w:cstheme="majorHAnsi"/>
          <w:i/>
          <w:iCs/>
          <w:sz w:val="24"/>
          <w:szCs w:val="24"/>
        </w:rPr>
        <w:t>PAKUAN LAW REVIEW</w:t>
      </w:r>
      <w:r w:rsidRPr="00E518B6">
        <w:rPr>
          <w:rFonts w:asciiTheme="majorHAnsi" w:hAnsiTheme="majorHAnsi" w:cstheme="majorHAnsi"/>
          <w:sz w:val="24"/>
          <w:szCs w:val="24"/>
        </w:rPr>
        <w:t xml:space="preserve"> 7, no. 1 (31 Maret 2021): 111–26. https://doi.org/10.33751/palar.v7i1.3076.</w:t>
      </w:r>
    </w:p>
    <w:p w14:paraId="66A8A012"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B.L. Jones. </w:t>
      </w:r>
      <w:r w:rsidRPr="00E518B6">
        <w:rPr>
          <w:rFonts w:asciiTheme="majorHAnsi" w:hAnsiTheme="majorHAnsi" w:cstheme="majorHAnsi"/>
          <w:i/>
          <w:iCs/>
          <w:sz w:val="24"/>
          <w:szCs w:val="24"/>
        </w:rPr>
        <w:t>Gamer’s Administrative Law</w:t>
      </w:r>
      <w:r w:rsidRPr="00E518B6">
        <w:rPr>
          <w:rFonts w:asciiTheme="majorHAnsi" w:hAnsiTheme="majorHAnsi" w:cstheme="majorHAnsi"/>
          <w:sz w:val="24"/>
          <w:szCs w:val="24"/>
        </w:rPr>
        <w:t>. Seventh Edition. London and Edinburgh: Butterworths, 1989.</w:t>
      </w:r>
    </w:p>
    <w:p w14:paraId="6E11C028"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Butt, Simon, dan Prayekti Murharjanti. “What constitutes compliance? Legislative responses to Constitutional Court decisions in Indonesia.” </w:t>
      </w:r>
      <w:r w:rsidRPr="00E518B6">
        <w:rPr>
          <w:rFonts w:asciiTheme="majorHAnsi" w:hAnsiTheme="majorHAnsi" w:cstheme="majorHAnsi"/>
          <w:i/>
          <w:iCs/>
          <w:sz w:val="24"/>
          <w:szCs w:val="24"/>
        </w:rPr>
        <w:t>International Journal of Constitutional Law</w:t>
      </w:r>
      <w:r w:rsidRPr="00E518B6">
        <w:rPr>
          <w:rFonts w:asciiTheme="majorHAnsi" w:hAnsiTheme="majorHAnsi" w:cstheme="majorHAnsi"/>
          <w:sz w:val="24"/>
          <w:szCs w:val="24"/>
        </w:rPr>
        <w:t xml:space="preserve"> 20, no. 1 (1 Januari 2022): 428–53. https://doi.org/10.1093/icon/moac014.</w:t>
      </w:r>
    </w:p>
    <w:p w14:paraId="3A05B4C5"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Chandranegara, Ibnu Sina. “Bentuk-Bentuk Perampingan Dan Harmonisasi Regulasi.” </w:t>
      </w:r>
      <w:r w:rsidRPr="00E518B6">
        <w:rPr>
          <w:rFonts w:asciiTheme="majorHAnsi" w:hAnsiTheme="majorHAnsi" w:cstheme="majorHAnsi"/>
          <w:i/>
          <w:iCs/>
          <w:sz w:val="24"/>
          <w:szCs w:val="24"/>
        </w:rPr>
        <w:t>Jurnal Hukum IUS QUIA IUSTUM</w:t>
      </w:r>
      <w:r w:rsidRPr="00E518B6">
        <w:rPr>
          <w:rFonts w:asciiTheme="majorHAnsi" w:hAnsiTheme="majorHAnsi" w:cstheme="majorHAnsi"/>
          <w:sz w:val="24"/>
          <w:szCs w:val="24"/>
        </w:rPr>
        <w:t xml:space="preserve"> 26, no. 3 (2019): 435–57. https://doi.org/10.20885/iustum.vol26.iss3.art1.</w:t>
      </w:r>
    </w:p>
    <w:p w14:paraId="07F4B52C"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Chng, Kenny. “Re-Examining Judicial Review of Delegated Legislation.” </w:t>
      </w:r>
      <w:r w:rsidRPr="00E518B6">
        <w:rPr>
          <w:rFonts w:asciiTheme="majorHAnsi" w:hAnsiTheme="majorHAnsi" w:cstheme="majorHAnsi"/>
          <w:i/>
          <w:iCs/>
          <w:sz w:val="24"/>
          <w:szCs w:val="24"/>
        </w:rPr>
        <w:t>Legal Studies</w:t>
      </w:r>
      <w:r w:rsidRPr="00E518B6">
        <w:rPr>
          <w:rFonts w:asciiTheme="majorHAnsi" w:hAnsiTheme="majorHAnsi" w:cstheme="majorHAnsi"/>
          <w:sz w:val="24"/>
          <w:szCs w:val="24"/>
        </w:rPr>
        <w:t>, 27 Februari 2023, 1–18. https://doi.org/10.1017/lst.2023.7.</w:t>
      </w:r>
    </w:p>
    <w:p w14:paraId="51D71706"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dkk., Dr. Diani Sadiawati. </w:t>
      </w:r>
      <w:r w:rsidRPr="00E518B6">
        <w:rPr>
          <w:rFonts w:asciiTheme="majorHAnsi" w:hAnsiTheme="majorHAnsi" w:cstheme="majorHAnsi"/>
          <w:i/>
          <w:iCs/>
          <w:sz w:val="24"/>
          <w:szCs w:val="24"/>
        </w:rPr>
        <w:t>Kajian Reformasi Regulasi di Indonesia: Pokok Permasalahan dan Strategi Penanganannya</w:t>
      </w:r>
      <w:r w:rsidRPr="00E518B6">
        <w:rPr>
          <w:rFonts w:asciiTheme="majorHAnsi" w:hAnsiTheme="majorHAnsi" w:cstheme="majorHAnsi"/>
          <w:sz w:val="24"/>
          <w:szCs w:val="24"/>
        </w:rPr>
        <w:t>. Jakarta Selatan: Yayasan Studi Hukum dan Kebijakan Indonesia (YSHK), t.t.</w:t>
      </w:r>
    </w:p>
    <w:p w14:paraId="439B2A4E"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Griffith, J. A. G. “The Constitutional Significance of Delegated Legislation in England.” </w:t>
      </w:r>
      <w:r w:rsidRPr="00E518B6">
        <w:rPr>
          <w:rFonts w:asciiTheme="majorHAnsi" w:hAnsiTheme="majorHAnsi" w:cstheme="majorHAnsi"/>
          <w:i/>
          <w:iCs/>
          <w:sz w:val="24"/>
          <w:szCs w:val="24"/>
        </w:rPr>
        <w:t>Michigan Law Review</w:t>
      </w:r>
      <w:r w:rsidRPr="00E518B6">
        <w:rPr>
          <w:rFonts w:asciiTheme="majorHAnsi" w:hAnsiTheme="majorHAnsi" w:cstheme="majorHAnsi"/>
          <w:sz w:val="24"/>
          <w:szCs w:val="24"/>
        </w:rPr>
        <w:t xml:space="preserve"> 48, no. 8 (1950): 1079–1120. https://doi.org/10.2307/1284083.</w:t>
      </w:r>
    </w:p>
    <w:p w14:paraId="06C5D3DB" w14:textId="77777777" w:rsidR="00A54A6F" w:rsidRPr="00E518B6" w:rsidRDefault="00A54A6F"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fldChar w:fldCharType="begin" w:fldLock="1"/>
      </w:r>
      <w:r w:rsidRPr="00E518B6">
        <w:rPr>
          <w:rFonts w:asciiTheme="majorHAnsi" w:hAnsiTheme="majorHAnsi" w:cstheme="majorHAnsi"/>
          <w:sz w:val="24"/>
          <w:szCs w:val="24"/>
        </w:rPr>
        <w:instrText>ADDIN CSL_CITATION {"citationItems":[{"id":"ITEM-1","itemData":{"DOI":"https://doi.org/10.24252/al-qadau.v9i1.29188","author":[{"dropping-particle":"","family":"Andini","given":"Gusta Orin","non-dropping-particle":"","parse-names":false,"suffix":""},{"dropping-particle":"","family":"Marinda","given":"Fitrah","non-dropping-particle":"","parse-names":false,"suffix":""},{"dropping-particle":"","family":"Hamdani","given":"Khulaifi","non-dropping-particle":"","parse-names":false,"suffix":""}],"container-title":"Jurnal Al-Qadau Peradilan dan Hukum Keluarga Islam","id":"ITEM-1","issue":"1","issued":{"date-parts":[["2022"]]},"page":"65","title":"Pertanggungjawaban Tindak Pidana Korupsi yang dilakukan oleh Aparatur Sipil Negara","type":"article-journal","volume":"9"},"uris":["http://www.mendeley.com/documents/?uuid=1f354361-9451-3d88-87d3-b0fb4fee74f4"]}],"mendeley":{"formattedCitation":"Gusta Orin Andini, Fitrah Marinda, and Khulaifi Hamdani, “Pertanggungjawaban Tindak Pidana Korupsi Yang Dilakukan Oleh Aparatur Sipil Negara,” &lt;i&gt;Jurnal Al-Qadau Peradilan Dan Hukum Keluarga Islam&lt;/i&gt; 9, no. 1 (2022): 65, https://doi.org/https://doi.org/10.24252/al-qadau.v9i1.29188.","plainTextFormattedCitation":"Gusta Orin Andini, Fitrah Marinda, and Khulaifi Hamdani, “Pertanggungjawaban Tindak Pidana Korupsi Yang Dilakukan Oleh Aparatur Sipil Negara,” Jurnal Al-Qadau Peradilan Dan Hukum Keluarga Islam 9, no. 1 (2022): 65, https://doi.org/https://doi.org/10.24252/al-qadau.v9i1.29188."},"properties":{"noteIndex":2},"schema":"https://github.com/citation-style-language/schema/raw/master/csl-citation.json"}</w:instrText>
      </w:r>
      <w:r w:rsidRPr="00E518B6">
        <w:rPr>
          <w:rFonts w:asciiTheme="majorHAnsi" w:hAnsiTheme="majorHAnsi" w:cstheme="majorHAnsi"/>
          <w:sz w:val="24"/>
          <w:szCs w:val="24"/>
        </w:rPr>
        <w:fldChar w:fldCharType="separate"/>
      </w:r>
      <w:r w:rsidRPr="00E518B6">
        <w:rPr>
          <w:rFonts w:asciiTheme="majorHAnsi" w:hAnsiTheme="majorHAnsi" w:cstheme="majorHAnsi"/>
          <w:noProof/>
          <w:sz w:val="24"/>
          <w:szCs w:val="24"/>
        </w:rPr>
        <w:t xml:space="preserve">Gusta Orin Andini, Fitrah Marinda, and Khulaifi Hamdani, “Pertanggungjawaban Tindak Pidana Korupsi Yang Dilakukan Oleh Aparatur Sipil Negara,” </w:t>
      </w:r>
      <w:r w:rsidRPr="00E518B6">
        <w:rPr>
          <w:rFonts w:asciiTheme="majorHAnsi" w:hAnsiTheme="majorHAnsi" w:cstheme="majorHAnsi"/>
          <w:i/>
          <w:noProof/>
          <w:sz w:val="24"/>
          <w:szCs w:val="24"/>
        </w:rPr>
        <w:t>Jurnal Al-Qadau Peradilan Dan Hukum Keluarga Islam</w:t>
      </w:r>
      <w:r w:rsidRPr="00E518B6">
        <w:rPr>
          <w:rFonts w:asciiTheme="majorHAnsi" w:hAnsiTheme="majorHAnsi" w:cstheme="majorHAnsi"/>
          <w:noProof/>
          <w:sz w:val="24"/>
          <w:szCs w:val="24"/>
        </w:rPr>
        <w:t xml:space="preserve"> 9, no. 1 (2022): 65, https://doi.org/https://doi.org/10.24252/al-qadau.v9i1.29188.</w:t>
      </w:r>
      <w:r w:rsidRPr="00E518B6">
        <w:rPr>
          <w:rFonts w:asciiTheme="majorHAnsi" w:hAnsiTheme="majorHAnsi" w:cstheme="majorHAnsi"/>
          <w:sz w:val="24"/>
          <w:szCs w:val="24"/>
        </w:rPr>
        <w:fldChar w:fldCharType="end"/>
      </w:r>
    </w:p>
    <w:p w14:paraId="32B2C61B" w14:textId="6446AF74"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Huang, Li. “From Benign Unconstitutionality to Delegated Legislation: Analysis on the Ways for Legal Reform of China Rural Collective Construction Land Circulation.” </w:t>
      </w:r>
      <w:r w:rsidRPr="00E518B6">
        <w:rPr>
          <w:rFonts w:asciiTheme="majorHAnsi" w:hAnsiTheme="majorHAnsi" w:cstheme="majorHAnsi"/>
          <w:i/>
          <w:iCs/>
          <w:sz w:val="24"/>
          <w:szCs w:val="24"/>
        </w:rPr>
        <w:t>Habitat International</w:t>
      </w:r>
      <w:r w:rsidRPr="00E518B6">
        <w:rPr>
          <w:rFonts w:asciiTheme="majorHAnsi" w:hAnsiTheme="majorHAnsi" w:cstheme="majorHAnsi"/>
          <w:sz w:val="24"/>
          <w:szCs w:val="24"/>
        </w:rPr>
        <w:t xml:space="preserve"> 74 (1 April 2018): 36–47. https://doi.org/10.1016/j.habitatint.2018.02.008.</w:t>
      </w:r>
    </w:p>
    <w:p w14:paraId="0F66D680"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Huda, Ni’matul. “Kedudukan Dan Materi Muatan Peraturan Menteri Dalam Perspektif Sistem Presidensial.” </w:t>
      </w:r>
      <w:r w:rsidRPr="00E518B6">
        <w:rPr>
          <w:rFonts w:asciiTheme="majorHAnsi" w:hAnsiTheme="majorHAnsi" w:cstheme="majorHAnsi"/>
          <w:i/>
          <w:iCs/>
          <w:sz w:val="24"/>
          <w:szCs w:val="24"/>
        </w:rPr>
        <w:t>Jurnal Hukum IUS QUIA IUSTUM</w:t>
      </w:r>
      <w:r w:rsidRPr="00E518B6">
        <w:rPr>
          <w:rFonts w:asciiTheme="majorHAnsi" w:hAnsiTheme="majorHAnsi" w:cstheme="majorHAnsi"/>
          <w:sz w:val="24"/>
          <w:szCs w:val="24"/>
        </w:rPr>
        <w:t xml:space="preserve"> 28, no. 3 (25 Agustus 2021): 550–71. https://doi.org/10.20885/iustum.vol28.iss3.art5.</w:t>
      </w:r>
    </w:p>
    <w:p w14:paraId="73D2C171" w14:textId="77777777" w:rsidR="00A54A6F" w:rsidRPr="00E518B6" w:rsidRDefault="00A54A6F"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fldChar w:fldCharType="begin" w:fldLock="1"/>
      </w:r>
      <w:r w:rsidRPr="00E518B6">
        <w:rPr>
          <w:rFonts w:asciiTheme="majorHAnsi" w:hAnsiTheme="majorHAnsi" w:cstheme="majorHAnsi"/>
          <w:sz w:val="24"/>
          <w:szCs w:val="24"/>
        </w:rPr>
        <w:instrText>ADDIN CSL_CITATION {"citationItems":[{"id":"ITEM-1","itemData":{"author":[{"dropping-particle":"","family":"Irwansyah","given":"","non-dropping-particle":"","parse-names":false,"suffix":""}],"edition":"1","editor":[{"dropping-particle":"","family":"Ahsan Yunus","given":"","non-dropping-particle":"","parse-names":false,"suffix":""}],"id":"ITEM-1","issued":{"date-parts":[["2020","7","23"]]},"number-of-pages":"67-68","publisher":"Mitra Buana Media","publisher-place":"Yogyakarta","title":"Penelitian Hukum: Pilihan Metode &amp; Praktik Penulisan Artikel","type":"book","volume":"1"},"uris":["http://www.mendeley.com/documents/?uuid=a878428a-ae24-379f-8575-dc45360c7d75"]}],"mendeley":{"formattedCitation":"Irwansyah, &lt;i&gt;Penelitian Hukum: Pilihan Metode &amp; Praktik Penulisan Artikel&lt;/i&gt;, ed. Ahsan Yunus, 1st ed., vol. 1 (Yogyakarta: Mitra Buana Media, 2020).","plainTextFormattedCitation":"Irwansyah, Penelitian Hukum: Pilihan Metode &amp; Praktik Penulisan Artikel, ed. Ahsan Yunus, 1st ed., vol. 1 (Yogyakarta: Mitra Buana Media, 2020).","previouslyFormattedCitation":"Irwansyah, &lt;i&gt;Penelitian Hukum: Pilihan Metode &amp; Praktik Penulisan Artikel&lt;/i&gt;, ed. Ahsan Yunus, 1st ed., vol. 1 (Yogyakarta: Mitra Buana Media, 2020)."},"properties":{"noteIndex":1},"schema":"https://github.com/citation-style-language/schema/raw/master/csl-citation.json"}</w:instrText>
      </w:r>
      <w:r w:rsidRPr="00E518B6">
        <w:rPr>
          <w:rFonts w:asciiTheme="majorHAnsi" w:hAnsiTheme="majorHAnsi" w:cstheme="majorHAnsi"/>
          <w:sz w:val="24"/>
          <w:szCs w:val="24"/>
        </w:rPr>
        <w:fldChar w:fldCharType="separate"/>
      </w:r>
      <w:r w:rsidRPr="00E518B6">
        <w:rPr>
          <w:rFonts w:asciiTheme="majorHAnsi" w:hAnsiTheme="majorHAnsi" w:cstheme="majorHAnsi"/>
          <w:noProof/>
          <w:sz w:val="24"/>
          <w:szCs w:val="24"/>
        </w:rPr>
        <w:t xml:space="preserve">Irwansyah, </w:t>
      </w:r>
      <w:r w:rsidRPr="00E518B6">
        <w:rPr>
          <w:rFonts w:asciiTheme="majorHAnsi" w:hAnsiTheme="majorHAnsi" w:cstheme="majorHAnsi"/>
          <w:i/>
          <w:noProof/>
          <w:sz w:val="24"/>
          <w:szCs w:val="24"/>
        </w:rPr>
        <w:t>Penelitian Hukum: Pilihan Metode &amp; Praktik Penulisan Artikel</w:t>
      </w:r>
      <w:r w:rsidRPr="00E518B6">
        <w:rPr>
          <w:rFonts w:asciiTheme="majorHAnsi" w:hAnsiTheme="majorHAnsi" w:cstheme="majorHAnsi"/>
          <w:noProof/>
          <w:sz w:val="24"/>
          <w:szCs w:val="24"/>
        </w:rPr>
        <w:t>, ed. Ahsan Yunus, 1st ed., vol. 1 (Yogyakarta: Mitra Buana Media, 2020).</w:t>
      </w:r>
      <w:r w:rsidRPr="00E518B6">
        <w:rPr>
          <w:rFonts w:asciiTheme="majorHAnsi" w:hAnsiTheme="majorHAnsi" w:cstheme="majorHAnsi"/>
          <w:sz w:val="24"/>
          <w:szCs w:val="24"/>
        </w:rPr>
        <w:fldChar w:fldCharType="end"/>
      </w:r>
    </w:p>
    <w:p w14:paraId="773F940F" w14:textId="704A7761"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Jimly Asshidiqie, Jimly Asshidiqie. </w:t>
      </w:r>
      <w:r w:rsidRPr="00E518B6">
        <w:rPr>
          <w:rFonts w:asciiTheme="majorHAnsi" w:hAnsiTheme="majorHAnsi" w:cstheme="majorHAnsi"/>
          <w:i/>
          <w:iCs/>
          <w:sz w:val="24"/>
          <w:szCs w:val="24"/>
        </w:rPr>
        <w:t>Perihal Undang-Undang</w:t>
      </w:r>
      <w:r w:rsidRPr="00E518B6">
        <w:rPr>
          <w:rFonts w:asciiTheme="majorHAnsi" w:hAnsiTheme="majorHAnsi" w:cstheme="majorHAnsi"/>
          <w:sz w:val="24"/>
          <w:szCs w:val="24"/>
        </w:rPr>
        <w:t>. Jakarta: Konstitusi Press, 2006.</w:t>
      </w:r>
    </w:p>
    <w:p w14:paraId="5D20000E" w14:textId="3BF223D0"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Johnny </w:t>
      </w:r>
      <w:r w:rsidR="00E518B6" w:rsidRPr="00E518B6">
        <w:rPr>
          <w:rFonts w:asciiTheme="majorHAnsi" w:hAnsiTheme="majorHAnsi" w:cstheme="majorHAnsi"/>
          <w:sz w:val="24"/>
          <w:szCs w:val="24"/>
        </w:rPr>
        <w:t>Ibrahim,</w:t>
      </w:r>
      <w:r w:rsidRPr="00E518B6">
        <w:rPr>
          <w:rFonts w:asciiTheme="majorHAnsi" w:hAnsiTheme="majorHAnsi" w:cstheme="majorHAnsi"/>
          <w:sz w:val="24"/>
          <w:szCs w:val="24"/>
        </w:rPr>
        <w:t xml:space="preserve"> </w:t>
      </w:r>
      <w:r w:rsidRPr="00E518B6">
        <w:rPr>
          <w:rFonts w:asciiTheme="majorHAnsi" w:hAnsiTheme="majorHAnsi" w:cstheme="majorHAnsi"/>
          <w:i/>
          <w:iCs/>
          <w:sz w:val="24"/>
          <w:szCs w:val="24"/>
        </w:rPr>
        <w:t>Teori dan Metodologi Penelitian Hukum Normatif</w:t>
      </w:r>
      <w:r w:rsidRPr="00E518B6">
        <w:rPr>
          <w:rFonts w:asciiTheme="majorHAnsi" w:hAnsiTheme="majorHAnsi" w:cstheme="majorHAnsi"/>
          <w:sz w:val="24"/>
          <w:szCs w:val="24"/>
        </w:rPr>
        <w:t>. ke-II. Malang: Bayu Media, 2006.</w:t>
      </w:r>
    </w:p>
    <w:p w14:paraId="2FAEF5A0" w14:textId="77777777" w:rsidR="007763A7"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King, Jeff. “The Province of Delegated Legislation.” Dalam </w:t>
      </w:r>
      <w:r w:rsidRPr="00E518B6">
        <w:rPr>
          <w:rFonts w:asciiTheme="majorHAnsi" w:hAnsiTheme="majorHAnsi" w:cstheme="majorHAnsi"/>
          <w:i/>
          <w:iCs/>
          <w:sz w:val="24"/>
          <w:szCs w:val="24"/>
        </w:rPr>
        <w:t>The Foundations and Future of Public Law: Essays in Honour of Paul Craig</w:t>
      </w:r>
      <w:r w:rsidRPr="00E518B6">
        <w:rPr>
          <w:rFonts w:asciiTheme="majorHAnsi" w:hAnsiTheme="majorHAnsi" w:cstheme="majorHAnsi"/>
          <w:sz w:val="24"/>
          <w:szCs w:val="24"/>
        </w:rPr>
        <w:t>, disunting oleh Elizabeth Fisher, Jeff King, dan Alison Young, 0. Oxford University Press, 2020. https://doi.org/10.1093/oso/9780198845249.003.0008.</w:t>
      </w:r>
    </w:p>
    <w:p w14:paraId="736DDCDD" w14:textId="77777777" w:rsidR="00E518B6" w:rsidRDefault="00E518B6" w:rsidP="00E518B6"/>
    <w:p w14:paraId="348C28F3" w14:textId="77777777" w:rsidR="00E518B6" w:rsidRPr="00E518B6" w:rsidRDefault="00E518B6" w:rsidP="00E518B6"/>
    <w:p w14:paraId="6611BB1D"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lastRenderedPageBreak/>
        <w:t xml:space="preserve">M. Syamsudin. </w:t>
      </w:r>
      <w:r w:rsidRPr="00E518B6">
        <w:rPr>
          <w:rFonts w:asciiTheme="majorHAnsi" w:hAnsiTheme="majorHAnsi" w:cstheme="majorHAnsi"/>
          <w:i/>
          <w:iCs/>
          <w:sz w:val="24"/>
          <w:szCs w:val="24"/>
        </w:rPr>
        <w:t>Operasionalisasi Penelitian Hukum</w:t>
      </w:r>
      <w:r w:rsidRPr="00E518B6">
        <w:rPr>
          <w:rFonts w:asciiTheme="majorHAnsi" w:hAnsiTheme="majorHAnsi" w:cstheme="majorHAnsi"/>
          <w:sz w:val="24"/>
          <w:szCs w:val="24"/>
        </w:rPr>
        <w:t>. Jakarta: Raja Grafindo Persada, 2007.</w:t>
      </w:r>
    </w:p>
    <w:p w14:paraId="51442605"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migas.esdm.go.id. “Buat Pemerintah Tidak Leluasa, Presiden Jokowi Minta Aturan-Aturan Disederhanakan.” Diakses 25 April 2022. https://migas.esdm.go.id/post/read/buat-pemerintah-tidak-leluasa,-presiden-jokowi-minta-aturan-aturan-disederhanakan.</w:t>
      </w:r>
    </w:p>
    <w:p w14:paraId="3E736987" w14:textId="49AFE73E"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Neudorf, Lorne. “Strengthening the Parliamentary Scrutiny of Delegated Legislation: Lessons </w:t>
      </w:r>
      <w:r w:rsidR="00E518B6" w:rsidRPr="00E518B6">
        <w:rPr>
          <w:rFonts w:asciiTheme="majorHAnsi" w:hAnsiTheme="majorHAnsi" w:cstheme="majorHAnsi"/>
          <w:sz w:val="24"/>
          <w:szCs w:val="24"/>
        </w:rPr>
        <w:t>from</w:t>
      </w:r>
      <w:r w:rsidRPr="00E518B6">
        <w:rPr>
          <w:rFonts w:asciiTheme="majorHAnsi" w:hAnsiTheme="majorHAnsi" w:cstheme="majorHAnsi"/>
          <w:sz w:val="24"/>
          <w:szCs w:val="24"/>
        </w:rPr>
        <w:t xml:space="preserve"> Australia.” SSRN Scholarly Paper. Rochester, NY, 2019. https://papers.ssrn.com/abstract=3550267.</w:t>
      </w:r>
    </w:p>
    <w:p w14:paraId="6CA44678"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 “The Role of a First Nations Voice for Delegated Legislation.” </w:t>
      </w:r>
      <w:r w:rsidRPr="00E518B6">
        <w:rPr>
          <w:rFonts w:asciiTheme="majorHAnsi" w:hAnsiTheme="majorHAnsi" w:cstheme="majorHAnsi"/>
          <w:i/>
          <w:iCs/>
          <w:sz w:val="24"/>
          <w:szCs w:val="24"/>
        </w:rPr>
        <w:t>Alternative Law Journal</w:t>
      </w:r>
      <w:r w:rsidRPr="00E518B6">
        <w:rPr>
          <w:rFonts w:asciiTheme="majorHAnsi" w:hAnsiTheme="majorHAnsi" w:cstheme="majorHAnsi"/>
          <w:sz w:val="24"/>
          <w:szCs w:val="24"/>
        </w:rPr>
        <w:t xml:space="preserve"> 48, no. 2 (1 Juni 2023): 84–89. https://doi.org/10.1177/1037969X231170419.</w:t>
      </w:r>
    </w:p>
    <w:p w14:paraId="75304F0B"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Ni’matul Huda. </w:t>
      </w:r>
      <w:r w:rsidRPr="00E518B6">
        <w:rPr>
          <w:rFonts w:asciiTheme="majorHAnsi" w:hAnsiTheme="majorHAnsi" w:cstheme="majorHAnsi"/>
          <w:i/>
          <w:iCs/>
          <w:sz w:val="24"/>
          <w:szCs w:val="24"/>
        </w:rPr>
        <w:t>Presiden dan Pembantu Presiden dalam Sistem Ketatanegaraan Indoenesia</w:t>
      </w:r>
      <w:r w:rsidRPr="00E518B6">
        <w:rPr>
          <w:rFonts w:asciiTheme="majorHAnsi" w:hAnsiTheme="majorHAnsi" w:cstheme="majorHAnsi"/>
          <w:sz w:val="24"/>
          <w:szCs w:val="24"/>
        </w:rPr>
        <w:t>. Yogyakarta: FH UII Press, 2019.</w:t>
      </w:r>
    </w:p>
    <w:p w14:paraId="595556F3"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Ni’matul Huda, Allan Fatchan Ghani Wardana, Yuniar Riza Hakiki, Suha Qoriroh. “Formulasi Konsep Tindak Lanjut Putusan Pengujian UU oleh MK yang bersifat Mengatur.” Laporan Penelitian, Kerjasama Mahkamah Konstitusi dan Fakultas Hukum Universitas Islam Indonesia, Jakarta 2019.</w:t>
      </w:r>
    </w:p>
    <w:p w14:paraId="39F58F28"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Nugraha, Xavier, Stefania Arshanty Felicia, dan Julienna Hartono. “Public Participation in Constitutional Amendments with Deliberation Requirements in the Unamendability Framework: A Comparative Study.” </w:t>
      </w:r>
      <w:r w:rsidRPr="00E518B6">
        <w:rPr>
          <w:rFonts w:asciiTheme="majorHAnsi" w:hAnsiTheme="majorHAnsi" w:cstheme="majorHAnsi"/>
          <w:i/>
          <w:iCs/>
          <w:sz w:val="24"/>
          <w:szCs w:val="24"/>
        </w:rPr>
        <w:t>Mulawarman Law Review</w:t>
      </w:r>
      <w:r w:rsidRPr="00E518B6">
        <w:rPr>
          <w:rFonts w:asciiTheme="majorHAnsi" w:hAnsiTheme="majorHAnsi" w:cstheme="majorHAnsi"/>
          <w:sz w:val="24"/>
          <w:szCs w:val="24"/>
        </w:rPr>
        <w:t>, 22 Desember 2022, 102–18. https://doi.org/10.30872/mulrev.v7i2.904.</w:t>
      </w:r>
    </w:p>
    <w:p w14:paraId="1C81B412"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Peter Mahmud Marzuki. </w:t>
      </w:r>
      <w:r w:rsidRPr="00E518B6">
        <w:rPr>
          <w:rFonts w:asciiTheme="majorHAnsi" w:hAnsiTheme="majorHAnsi" w:cstheme="majorHAnsi"/>
          <w:i/>
          <w:iCs/>
          <w:sz w:val="24"/>
          <w:szCs w:val="24"/>
        </w:rPr>
        <w:t>Penelitian Hukum, (edisi revisi</w:t>
      </w:r>
      <w:r w:rsidRPr="00E518B6">
        <w:rPr>
          <w:rFonts w:asciiTheme="majorHAnsi" w:hAnsiTheme="majorHAnsi" w:cstheme="majorHAnsi"/>
          <w:sz w:val="24"/>
          <w:szCs w:val="24"/>
        </w:rPr>
        <w:t>. Jakarta: Prenadamedia Group, 2015.</w:t>
      </w:r>
    </w:p>
    <w:p w14:paraId="36E5D568" w14:textId="5FB68BAA"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Pünder, Hermann. “Democratic Legitimation of Delegated Legislation—A Comparative View on The American, British </w:t>
      </w:r>
      <w:r w:rsidR="00E518B6" w:rsidRPr="00E518B6">
        <w:rPr>
          <w:rFonts w:asciiTheme="majorHAnsi" w:hAnsiTheme="majorHAnsi" w:cstheme="majorHAnsi"/>
          <w:sz w:val="24"/>
          <w:szCs w:val="24"/>
        </w:rPr>
        <w:t>and</w:t>
      </w:r>
      <w:r w:rsidRPr="00E518B6">
        <w:rPr>
          <w:rFonts w:asciiTheme="majorHAnsi" w:hAnsiTheme="majorHAnsi" w:cstheme="majorHAnsi"/>
          <w:sz w:val="24"/>
          <w:szCs w:val="24"/>
        </w:rPr>
        <w:t xml:space="preserve"> German Law.” </w:t>
      </w:r>
      <w:r w:rsidRPr="00E518B6">
        <w:rPr>
          <w:rFonts w:asciiTheme="majorHAnsi" w:hAnsiTheme="majorHAnsi" w:cstheme="majorHAnsi"/>
          <w:i/>
          <w:iCs/>
          <w:sz w:val="24"/>
          <w:szCs w:val="24"/>
        </w:rPr>
        <w:t>International &amp; Comparative Law Quarterly</w:t>
      </w:r>
      <w:r w:rsidRPr="00E518B6">
        <w:rPr>
          <w:rFonts w:asciiTheme="majorHAnsi" w:hAnsiTheme="majorHAnsi" w:cstheme="majorHAnsi"/>
          <w:sz w:val="24"/>
          <w:szCs w:val="24"/>
        </w:rPr>
        <w:t xml:space="preserve"> 58, no. 2 (April 2009): 353–78. https://doi.org/10.1017/S0020589309001079.</w:t>
      </w:r>
    </w:p>
    <w:p w14:paraId="2A38B978"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Reid, Colin T. “The Limits of Devolved Legislative Power: Subordinate Legislation in Scotland.” </w:t>
      </w:r>
      <w:r w:rsidRPr="00E518B6">
        <w:rPr>
          <w:rFonts w:asciiTheme="majorHAnsi" w:hAnsiTheme="majorHAnsi" w:cstheme="majorHAnsi"/>
          <w:i/>
          <w:iCs/>
          <w:sz w:val="24"/>
          <w:szCs w:val="24"/>
        </w:rPr>
        <w:t>Statute Law Review</w:t>
      </w:r>
      <w:r w:rsidRPr="00E518B6">
        <w:rPr>
          <w:rFonts w:asciiTheme="majorHAnsi" w:hAnsiTheme="majorHAnsi" w:cstheme="majorHAnsi"/>
          <w:sz w:val="24"/>
          <w:szCs w:val="24"/>
        </w:rPr>
        <w:t xml:space="preserve"> 24, no. 3 (1 Januari 2003): 187–210. https://doi.org/10.1093/slr/24.3.187.</w:t>
      </w:r>
    </w:p>
    <w:p w14:paraId="5D2FFD65"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Ridwan HR. </w:t>
      </w:r>
      <w:r w:rsidRPr="00E518B6">
        <w:rPr>
          <w:rFonts w:asciiTheme="majorHAnsi" w:hAnsiTheme="majorHAnsi" w:cstheme="majorHAnsi"/>
          <w:i/>
          <w:iCs/>
          <w:sz w:val="24"/>
          <w:szCs w:val="24"/>
        </w:rPr>
        <w:t>Hukum Administrasi Negara</w:t>
      </w:r>
      <w:r w:rsidRPr="00E518B6">
        <w:rPr>
          <w:rFonts w:asciiTheme="majorHAnsi" w:hAnsiTheme="majorHAnsi" w:cstheme="majorHAnsi"/>
          <w:sz w:val="24"/>
          <w:szCs w:val="24"/>
        </w:rPr>
        <w:t>. Jakarta: Rajawali Pers, 2011.</w:t>
      </w:r>
    </w:p>
    <w:p w14:paraId="1518EC80"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Ridwan, Ridwan. “Eksistensi dan Urgensi Peraturan Menteri dalam Penyelenggaraan Pemerintahan Sistem Presidensial.” </w:t>
      </w:r>
      <w:r w:rsidRPr="00E518B6">
        <w:rPr>
          <w:rFonts w:asciiTheme="majorHAnsi" w:hAnsiTheme="majorHAnsi" w:cstheme="majorHAnsi"/>
          <w:i/>
          <w:iCs/>
          <w:sz w:val="24"/>
          <w:szCs w:val="24"/>
        </w:rPr>
        <w:t>Jurnal Konstitusi</w:t>
      </w:r>
      <w:r w:rsidRPr="00E518B6">
        <w:rPr>
          <w:rFonts w:asciiTheme="majorHAnsi" w:hAnsiTheme="majorHAnsi" w:cstheme="majorHAnsi"/>
          <w:sz w:val="24"/>
          <w:szCs w:val="24"/>
        </w:rPr>
        <w:t xml:space="preserve"> 18, no. 4 (17 Februari 2022): 828–45. https://doi.org/10.31078/jk1845.</w:t>
      </w:r>
    </w:p>
    <w:p w14:paraId="7835B80C"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Rishan, Idul, dan Imroatun Nika. “Inkompatibilitas Metode Omnibus Law Dalam Penyederhanaan Regulasi.” </w:t>
      </w:r>
      <w:r w:rsidRPr="00E518B6">
        <w:rPr>
          <w:rFonts w:asciiTheme="majorHAnsi" w:hAnsiTheme="majorHAnsi" w:cstheme="majorHAnsi"/>
          <w:i/>
          <w:iCs/>
          <w:sz w:val="24"/>
          <w:szCs w:val="24"/>
        </w:rPr>
        <w:t>Jurnal Hukum IUS QUIA IUSTUM</w:t>
      </w:r>
      <w:r w:rsidRPr="00E518B6">
        <w:rPr>
          <w:rFonts w:asciiTheme="majorHAnsi" w:hAnsiTheme="majorHAnsi" w:cstheme="majorHAnsi"/>
          <w:sz w:val="24"/>
          <w:szCs w:val="24"/>
        </w:rPr>
        <w:t xml:space="preserve"> 29, no. 1 (31 Januari 2022): 166–88. https://doi.org/10.20885/iustum.vol29.iss1.art8.</w:t>
      </w:r>
    </w:p>
    <w:p w14:paraId="3FE2A47D"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Rumiarta, I. Nyoman Prabhu Buana. “Kedudukan Peraturan Menteri pada Konstitusi.” </w:t>
      </w:r>
      <w:r w:rsidRPr="00E518B6">
        <w:rPr>
          <w:rFonts w:asciiTheme="majorHAnsi" w:hAnsiTheme="majorHAnsi" w:cstheme="majorHAnsi"/>
          <w:i/>
          <w:iCs/>
          <w:sz w:val="24"/>
          <w:szCs w:val="24"/>
        </w:rPr>
        <w:t>Kerta Dyatmika</w:t>
      </w:r>
      <w:r w:rsidRPr="00E518B6">
        <w:rPr>
          <w:rFonts w:asciiTheme="majorHAnsi" w:hAnsiTheme="majorHAnsi" w:cstheme="majorHAnsi"/>
          <w:sz w:val="24"/>
          <w:szCs w:val="24"/>
        </w:rPr>
        <w:t xml:space="preserve"> 12, no. 2 (6 September 2015). https://doi.org/10.46650/kd.12.2.373.%p.</w:t>
      </w:r>
    </w:p>
    <w:p w14:paraId="74CD1A1C"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Saif, Kainat. “Delegated Legislation: A Case Study of Pakistan.” SSRN Scholarly Paper. Rochester, NY, 15 Mei 2021. https://doi.org/10.2139/ssrn.3847989.</w:t>
      </w:r>
    </w:p>
    <w:p w14:paraId="7B6FA80B"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Saldi Isra. “Merampingkan Regulasi.” kompas.id, 13 Maret 2017. https://www.kompas.id/baca/opini/2017/03/13/merampingkan-regulasi.</w:t>
      </w:r>
    </w:p>
    <w:p w14:paraId="058EA237"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lastRenderedPageBreak/>
        <w:t>Saputra, Andi. “PSHK UII: Obesitas Regulasi di Peraturan Menteri, Omnibus Law Tak Tepat.” detiknews. Diakses 23 April 2022. https://news.detik.com/berita/d-5891796/pshk-uii-obesitas-regulasi-di-peraturan-menteri-omnibus-law-tak-tepat.</w:t>
      </w:r>
    </w:p>
    <w:p w14:paraId="4BF1C0F7"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Schütze, Robert. “‘Delegated’ Legislation in the (New) European Union: A Constitutional Analysis.” </w:t>
      </w:r>
      <w:r w:rsidRPr="00E518B6">
        <w:rPr>
          <w:rFonts w:asciiTheme="majorHAnsi" w:hAnsiTheme="majorHAnsi" w:cstheme="majorHAnsi"/>
          <w:i/>
          <w:iCs/>
          <w:sz w:val="24"/>
          <w:szCs w:val="24"/>
        </w:rPr>
        <w:t>The Modern Law Review</w:t>
      </w:r>
      <w:r w:rsidRPr="00E518B6">
        <w:rPr>
          <w:rFonts w:asciiTheme="majorHAnsi" w:hAnsiTheme="majorHAnsi" w:cstheme="majorHAnsi"/>
          <w:sz w:val="24"/>
          <w:szCs w:val="24"/>
        </w:rPr>
        <w:t xml:space="preserve"> 74, no. 5 (2011): 661–93. https://doi.org/10.1111/j.1468-2230.2011.00866.x.</w:t>
      </w:r>
    </w:p>
    <w:p w14:paraId="1484AB49"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S.F. Marbun. </w:t>
      </w:r>
      <w:r w:rsidRPr="00E518B6">
        <w:rPr>
          <w:rFonts w:asciiTheme="majorHAnsi" w:hAnsiTheme="majorHAnsi" w:cstheme="majorHAnsi"/>
          <w:i/>
          <w:iCs/>
          <w:sz w:val="24"/>
          <w:szCs w:val="24"/>
        </w:rPr>
        <w:t>Hukum Administrasi Negara I</w:t>
      </w:r>
      <w:r w:rsidRPr="00E518B6">
        <w:rPr>
          <w:rFonts w:asciiTheme="majorHAnsi" w:hAnsiTheme="majorHAnsi" w:cstheme="majorHAnsi"/>
          <w:sz w:val="24"/>
          <w:szCs w:val="24"/>
        </w:rPr>
        <w:t>. Yogyakarta: FH UII Press, 2012.</w:t>
      </w:r>
    </w:p>
    <w:p w14:paraId="40ABC40B" w14:textId="77777777" w:rsidR="007763A7" w:rsidRPr="00E518B6" w:rsidRDefault="007763A7" w:rsidP="00CE0A71">
      <w:pPr>
        <w:pStyle w:val="Bibliography"/>
        <w:ind w:left="567" w:hanging="567"/>
        <w:jc w:val="both"/>
        <w:rPr>
          <w:rFonts w:asciiTheme="majorHAnsi" w:hAnsiTheme="majorHAnsi" w:cstheme="majorHAnsi"/>
          <w:sz w:val="24"/>
          <w:szCs w:val="24"/>
        </w:rPr>
      </w:pPr>
      <w:r w:rsidRPr="00E518B6">
        <w:rPr>
          <w:rFonts w:asciiTheme="majorHAnsi" w:hAnsiTheme="majorHAnsi" w:cstheme="majorHAnsi"/>
          <w:sz w:val="24"/>
          <w:szCs w:val="24"/>
        </w:rPr>
        <w:t xml:space="preserve">Taggart, Michael. “From ‘Parlianentary Powers’ to Privatization: The Chequered History of Delegated Legislation in the Twentieth Century.” </w:t>
      </w:r>
      <w:r w:rsidRPr="00E518B6">
        <w:rPr>
          <w:rFonts w:asciiTheme="majorHAnsi" w:hAnsiTheme="majorHAnsi" w:cstheme="majorHAnsi"/>
          <w:i/>
          <w:iCs/>
          <w:sz w:val="24"/>
          <w:szCs w:val="24"/>
        </w:rPr>
        <w:t>The University of Toronto Law Journal</w:t>
      </w:r>
      <w:r w:rsidRPr="00E518B6">
        <w:rPr>
          <w:rFonts w:asciiTheme="majorHAnsi" w:hAnsiTheme="majorHAnsi" w:cstheme="majorHAnsi"/>
          <w:sz w:val="24"/>
          <w:szCs w:val="24"/>
        </w:rPr>
        <w:t xml:space="preserve"> 55, no. 3 (2005): 575–627.</w:t>
      </w:r>
    </w:p>
    <w:p w14:paraId="03A95462" w14:textId="2C2EE10D" w:rsidR="00A1125D" w:rsidRPr="00E518B6" w:rsidRDefault="009229E8" w:rsidP="00CE0A71">
      <w:pPr>
        <w:pBdr>
          <w:top w:val="nil"/>
          <w:left w:val="nil"/>
          <w:bottom w:val="nil"/>
          <w:right w:val="nil"/>
          <w:between w:val="nil"/>
        </w:pBdr>
        <w:tabs>
          <w:tab w:val="left" w:pos="630"/>
        </w:tabs>
        <w:spacing w:before="120" w:after="0" w:line="240" w:lineRule="auto"/>
        <w:ind w:left="567" w:hanging="567"/>
        <w:jc w:val="both"/>
        <w:rPr>
          <w:rFonts w:asciiTheme="majorHAnsi" w:hAnsiTheme="majorHAnsi" w:cstheme="majorHAnsi"/>
          <w:sz w:val="24"/>
          <w:szCs w:val="24"/>
        </w:rPr>
      </w:pPr>
      <w:r w:rsidRPr="00E518B6">
        <w:rPr>
          <w:rFonts w:asciiTheme="majorHAnsi" w:hAnsiTheme="majorHAnsi" w:cstheme="majorHAnsi"/>
          <w:sz w:val="24"/>
          <w:szCs w:val="24"/>
        </w:rPr>
        <w:fldChar w:fldCharType="end"/>
      </w:r>
    </w:p>
    <w:p w14:paraId="3E8005A9" w14:textId="77777777" w:rsidR="007F7FAF" w:rsidRPr="00262F8D" w:rsidRDefault="007F7FAF" w:rsidP="006D7FBC">
      <w:pPr>
        <w:pBdr>
          <w:top w:val="nil"/>
          <w:left w:val="nil"/>
          <w:bottom w:val="nil"/>
          <w:right w:val="nil"/>
          <w:between w:val="nil"/>
        </w:pBdr>
        <w:tabs>
          <w:tab w:val="left" w:pos="630"/>
        </w:tabs>
        <w:spacing w:before="120" w:after="0" w:line="240" w:lineRule="auto"/>
        <w:ind w:left="720" w:hanging="720"/>
        <w:jc w:val="both"/>
        <w:rPr>
          <w:rFonts w:asciiTheme="majorHAnsi" w:eastAsia="Times New Roman" w:hAnsiTheme="majorHAnsi" w:cstheme="majorHAnsi"/>
          <w:color w:val="000000"/>
          <w:sz w:val="24"/>
          <w:szCs w:val="24"/>
        </w:rPr>
      </w:pPr>
    </w:p>
    <w:sectPr w:rsidR="007F7FAF" w:rsidRPr="00262F8D" w:rsidSect="009673C3">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851" w:footer="604" w:gutter="0"/>
      <w:pgNumType w:start="4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FF17" w14:textId="77777777" w:rsidR="006C2DA4" w:rsidRDefault="006C2DA4">
      <w:pPr>
        <w:spacing w:after="0" w:line="240" w:lineRule="auto"/>
      </w:pPr>
      <w:r>
        <w:separator/>
      </w:r>
    </w:p>
  </w:endnote>
  <w:endnote w:type="continuationSeparator" w:id="0">
    <w:p w14:paraId="5BEDE5A0" w14:textId="77777777" w:rsidR="006C2DA4" w:rsidRDefault="006C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D3EC" w14:textId="77777777" w:rsidR="00E518E6" w:rsidRDefault="006E45B0">
    <w:pPr>
      <w:pBdr>
        <w:top w:val="nil"/>
        <w:left w:val="nil"/>
        <w:bottom w:val="nil"/>
        <w:right w:val="nil"/>
        <w:between w:val="nil"/>
      </w:pBdr>
      <w:spacing w:after="0" w:line="240" w:lineRule="auto"/>
      <w:jc w:val="center"/>
      <w:rPr>
        <w:rFonts w:ascii="Book Antiqua" w:eastAsia="Book Antiqua" w:hAnsi="Book Antiqua" w:cs="Book Antiqua"/>
        <w:color w:val="70AD47"/>
      </w:rPr>
    </w:pPr>
    <w:r>
      <w:rPr>
        <w:rFonts w:ascii="Book Antiqua" w:eastAsia="Book Antiqua" w:hAnsi="Book Antiqua" w:cs="Book Antiqua"/>
        <w:b/>
        <w:color w:val="70AD47"/>
      </w:rPr>
      <w:fldChar w:fldCharType="begin"/>
    </w:r>
    <w:r>
      <w:rPr>
        <w:rFonts w:ascii="Book Antiqua" w:eastAsia="Book Antiqua" w:hAnsi="Book Antiqua" w:cs="Book Antiqua"/>
        <w:b/>
        <w:color w:val="70AD47"/>
      </w:rPr>
      <w:instrText>PAGE</w:instrText>
    </w:r>
    <w:r>
      <w:rPr>
        <w:rFonts w:ascii="Book Antiqua" w:eastAsia="Book Antiqua" w:hAnsi="Book Antiqua" w:cs="Book Antiqua"/>
        <w:b/>
        <w:color w:val="70AD47"/>
      </w:rPr>
      <w:fldChar w:fldCharType="separate"/>
    </w:r>
    <w:r w:rsidR="00E831A9">
      <w:rPr>
        <w:rFonts w:ascii="Book Antiqua" w:eastAsia="Book Antiqua" w:hAnsi="Book Antiqua" w:cs="Book Antiqua"/>
        <w:b/>
        <w:noProof/>
        <w:color w:val="70AD47"/>
      </w:rPr>
      <w:t>2</w:t>
    </w:r>
    <w:r>
      <w:rPr>
        <w:rFonts w:ascii="Book Antiqua" w:eastAsia="Book Antiqua" w:hAnsi="Book Antiqua" w:cs="Book Antiqua"/>
        <w:b/>
        <w:color w:val="70AD47"/>
      </w:rPr>
      <w:fldChar w:fldCharType="end"/>
    </w:r>
  </w:p>
  <w:p w14:paraId="03F0083D" w14:textId="77777777" w:rsidR="00E518E6" w:rsidRDefault="00E518E6">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B05E" w14:textId="77777777" w:rsidR="00E518E6" w:rsidRDefault="006E45B0">
    <w:pPr>
      <w:pBdr>
        <w:top w:val="nil"/>
        <w:left w:val="nil"/>
        <w:bottom w:val="nil"/>
        <w:right w:val="nil"/>
        <w:between w:val="nil"/>
      </w:pBdr>
      <w:spacing w:after="0" w:line="240" w:lineRule="auto"/>
      <w:jc w:val="center"/>
      <w:rPr>
        <w:rFonts w:ascii="Book Antiqua" w:eastAsia="Book Antiqua" w:hAnsi="Book Antiqua" w:cs="Book Antiqua"/>
        <w:color w:val="70AD47"/>
      </w:rPr>
    </w:pPr>
    <w:r>
      <w:rPr>
        <w:rFonts w:ascii="Book Antiqua" w:eastAsia="Book Antiqua" w:hAnsi="Book Antiqua" w:cs="Book Antiqua"/>
        <w:color w:val="70AD47"/>
      </w:rPr>
      <w:fldChar w:fldCharType="begin"/>
    </w:r>
    <w:r>
      <w:rPr>
        <w:rFonts w:ascii="Book Antiqua" w:eastAsia="Book Antiqua" w:hAnsi="Book Antiqua" w:cs="Book Antiqua"/>
        <w:color w:val="70AD47"/>
      </w:rPr>
      <w:instrText>PAGE</w:instrText>
    </w:r>
    <w:r>
      <w:rPr>
        <w:rFonts w:ascii="Book Antiqua" w:eastAsia="Book Antiqua" w:hAnsi="Book Antiqua" w:cs="Book Antiqua"/>
        <w:color w:val="70AD47"/>
      </w:rPr>
      <w:fldChar w:fldCharType="separate"/>
    </w:r>
    <w:r w:rsidR="00E831A9">
      <w:rPr>
        <w:rFonts w:ascii="Book Antiqua" w:eastAsia="Book Antiqua" w:hAnsi="Book Antiqua" w:cs="Book Antiqua"/>
        <w:noProof/>
        <w:color w:val="70AD47"/>
      </w:rPr>
      <w:t>3</w:t>
    </w:r>
    <w:r>
      <w:rPr>
        <w:rFonts w:ascii="Book Antiqua" w:eastAsia="Book Antiqua" w:hAnsi="Book Antiqua" w:cs="Book Antiqua"/>
        <w:color w:val="70AD47"/>
      </w:rPr>
      <w:fldChar w:fldCharType="end"/>
    </w:r>
  </w:p>
  <w:p w14:paraId="3EED071A" w14:textId="77777777" w:rsidR="00E518E6" w:rsidRDefault="00E518E6">
    <w:pPr>
      <w:pBdr>
        <w:top w:val="nil"/>
        <w:left w:val="nil"/>
        <w:bottom w:val="nil"/>
        <w:right w:val="nil"/>
        <w:between w:val="nil"/>
      </w:pBdr>
      <w:spacing w:after="0" w:line="240" w:lineRule="auto"/>
      <w:rPr>
        <w:rFonts w:ascii="Book Antiqua" w:eastAsia="Book Antiqua" w:hAnsi="Book Antiqua" w:cs="Book Antiqua"/>
        <w:color w:val="C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D82D" w14:textId="77777777" w:rsidR="00E518E6" w:rsidRDefault="006E45B0">
    <w:pPr>
      <w:pBdr>
        <w:top w:val="nil"/>
        <w:left w:val="nil"/>
        <w:bottom w:val="nil"/>
        <w:right w:val="nil"/>
        <w:between w:val="nil"/>
      </w:pBdr>
      <w:spacing w:after="0" w:line="240" w:lineRule="auto"/>
      <w:jc w:val="center"/>
      <w:rPr>
        <w:rFonts w:ascii="Book Antiqua" w:eastAsia="Book Antiqua" w:hAnsi="Book Antiqua" w:cs="Book Antiqua"/>
        <w:color w:val="70AD47"/>
      </w:rPr>
    </w:pPr>
    <w:r>
      <w:rPr>
        <w:rFonts w:ascii="Book Antiqua" w:eastAsia="Book Antiqua" w:hAnsi="Book Antiqua" w:cs="Book Antiqua"/>
        <w:b/>
        <w:color w:val="70AD47"/>
      </w:rPr>
      <w:fldChar w:fldCharType="begin"/>
    </w:r>
    <w:r>
      <w:rPr>
        <w:rFonts w:ascii="Book Antiqua" w:eastAsia="Book Antiqua" w:hAnsi="Book Antiqua" w:cs="Book Antiqua"/>
        <w:b/>
        <w:color w:val="70AD47"/>
      </w:rPr>
      <w:instrText>PAGE</w:instrText>
    </w:r>
    <w:r>
      <w:rPr>
        <w:rFonts w:ascii="Book Antiqua" w:eastAsia="Book Antiqua" w:hAnsi="Book Antiqua" w:cs="Book Antiqua"/>
        <w:b/>
        <w:color w:val="70AD47"/>
      </w:rPr>
      <w:fldChar w:fldCharType="separate"/>
    </w:r>
    <w:r w:rsidR="00E831A9">
      <w:rPr>
        <w:rFonts w:ascii="Book Antiqua" w:eastAsia="Book Antiqua" w:hAnsi="Book Antiqua" w:cs="Book Antiqua"/>
        <w:b/>
        <w:noProof/>
        <w:color w:val="70AD47"/>
      </w:rPr>
      <w:t>1</w:t>
    </w:r>
    <w:r>
      <w:rPr>
        <w:rFonts w:ascii="Book Antiqua" w:eastAsia="Book Antiqua" w:hAnsi="Book Antiqua" w:cs="Book Antiqua"/>
        <w:b/>
        <w:color w:val="70AD47"/>
      </w:rPr>
      <w:fldChar w:fldCharType="end"/>
    </w:r>
  </w:p>
  <w:p w14:paraId="73A21295" w14:textId="77777777" w:rsidR="00E518E6" w:rsidRDefault="00E518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BAF0" w14:textId="77777777" w:rsidR="006C2DA4" w:rsidRDefault="006C2DA4">
      <w:pPr>
        <w:spacing w:after="0" w:line="240" w:lineRule="auto"/>
      </w:pPr>
      <w:r>
        <w:separator/>
      </w:r>
    </w:p>
  </w:footnote>
  <w:footnote w:type="continuationSeparator" w:id="0">
    <w:p w14:paraId="7703C068" w14:textId="77777777" w:rsidR="006C2DA4" w:rsidRDefault="006C2DA4">
      <w:pPr>
        <w:spacing w:after="0" w:line="240" w:lineRule="auto"/>
      </w:pPr>
      <w:r>
        <w:continuationSeparator/>
      </w:r>
    </w:p>
  </w:footnote>
  <w:footnote w:id="1">
    <w:p w14:paraId="4C3C55F1" w14:textId="29AA9FE6"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06279" w:rsidRPr="0024403F">
        <w:rPr>
          <w:rFonts w:asciiTheme="majorHAnsi" w:hAnsiTheme="majorHAnsi" w:cstheme="majorHAnsi"/>
          <w:sz w:val="18"/>
          <w:szCs w:val="18"/>
        </w:rPr>
        <w:instrText xml:space="preserve"> ADDIN ZOTERO_ITEM CSL_CITATION {"citationID":"hLv0Uoqz","properties":{"formattedCitation":"\\uc0\\u8220{}Buat Pemerintah Tidak Leluasa, Presiden Jokowi Minta Aturan-Aturan Disederhanakan,\\uc0\\u8221{} migas.esdm.go.id, diakses 25 April 2022, https://migas.esdm.go.id/post/read/buat-pemerintah-tidak-leluasa,-presiden-jokowi-minta-aturan-aturan-disederhanakan.","plainCitation":"“Buat Pemerintah Tidak Leluasa, Presiden Jokowi Minta Aturan-Aturan Disederhanakan,” migas.esdm.go.id, diakses 25 April 2022, https://migas.esdm.go.id/post/read/buat-pemerintah-tidak-leluasa,-presiden-jokowi-minta-aturan-aturan-disederhanakan.","noteIndex":1},"citationItems":[{"id":581,"uris":["http://zotero.org/users/5443588/items/XL73CKCV"],"itemData":{"id":581,"type":"webpage","abstract":"Informasi seputar Buat Pemerintah Tidak Leluasa, Presiden Jokowi Minta Aturan-Aturan Disederhanakan bisa anda dapatkan di sini | migas.esdm.go.id","container-title":"migas.esdm.go.id","language":"en","title":"Buat Pemerintah Tidak Leluasa, Presiden Jokowi Minta Aturan-Aturan Disederhanakan","URL":"https://migas.esdm.go.id/post/read/buat-pemerintah-tidak-leluasa,-presiden-jokowi-minta-aturan-aturan-disederhanakan","accessed":{"date-parts":[["2022",4,25]]}}}],"schema":"https://github.com/citation-style-language/schema/raw/master/csl-citation.json"}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“Buat Pemerintah Tidak Leluasa, Presiden Jokowi Minta Aturan-Aturan Disederhanakan,” migas.esdm.go.id, diakses 25 April 2022, https://migas.esdm.go.id/post/read/buat-pemerintah-tidak-leluasa,-presiden-jokowi-minta-aturan-aturan-disederhanakan.</w:t>
      </w:r>
      <w:r w:rsidRPr="0024403F">
        <w:rPr>
          <w:rFonts w:asciiTheme="majorHAnsi" w:hAnsiTheme="majorHAnsi" w:cstheme="majorHAnsi"/>
          <w:sz w:val="18"/>
          <w:szCs w:val="18"/>
        </w:rPr>
        <w:fldChar w:fldCharType="end"/>
      </w:r>
    </w:p>
  </w:footnote>
  <w:footnote w:id="2">
    <w:p w14:paraId="41B9E4AE" w14:textId="3F947EA4"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06279" w:rsidRPr="0024403F">
        <w:rPr>
          <w:rFonts w:asciiTheme="majorHAnsi" w:hAnsiTheme="majorHAnsi" w:cstheme="majorHAnsi"/>
          <w:sz w:val="18"/>
          <w:szCs w:val="18"/>
        </w:rPr>
        <w:instrText xml:space="preserve"> ADDIN ZOTERO_ITEM CSL_CITATION {"citationID":"0so1NKNt","properties":{"formattedCitation":"Dr. Diani Sadiawati dkk., {\\i{}Kajian Reformasi Regulasi di Indonesia: Pokok Permasalahan dan Strategi Penanganannya} (Jakarta Selatan: Yayasan Studi Hukum dan Kebijakan Indonesia (YSHK), t.t.), 64.","plainCitation":"Dr. Diani Sadiawati dkk., Kajian Reformasi Regulasi di Indonesia: Pokok Permasalahan dan Strategi Penanganannya (Jakarta Selatan: Yayasan Studi Hukum dan Kebijakan Indonesia (YSHK), t.t.), 64.","noteIndex":2},"citationItems":[{"id":601,"uris":["http://zotero.org/users/5443588/items/EM4UK5TB"],"itemData":{"id":601,"type":"book","event-place":"Jakarta Selatan","publisher":"Yayasan Studi Hukum dan Kebijakan Indonesia (YSHK)","publisher-place":"Jakarta Selatan","title":"Kajian Reformasi Regulasi di Indonesia: Pokok Permasalahan dan Strategi Penanganannya","author":[{"family":"dkk.","given":"Dr. Diani Sadiawati"}]},"locator":"64"}],"schema":"https://github.com/citation-style-language/schema/raw/master/csl-citation.json"}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Dr. Diani Sadiawati dkk., </w:t>
      </w:r>
      <w:r w:rsidR="00906279" w:rsidRPr="0024403F">
        <w:rPr>
          <w:rFonts w:asciiTheme="majorHAnsi" w:hAnsiTheme="majorHAnsi" w:cstheme="majorHAnsi"/>
          <w:i/>
          <w:iCs/>
          <w:sz w:val="18"/>
          <w:szCs w:val="18"/>
          <w:lang w:val="en-US"/>
        </w:rPr>
        <w:t>Kajian Reformasi Regulasi di Indonesia: Pokok Permasalahan dan Strategi Penanganannya</w:t>
      </w:r>
      <w:r w:rsidR="00906279" w:rsidRPr="0024403F">
        <w:rPr>
          <w:rFonts w:asciiTheme="majorHAnsi" w:hAnsiTheme="majorHAnsi" w:cstheme="majorHAnsi"/>
          <w:sz w:val="18"/>
          <w:szCs w:val="18"/>
          <w:lang w:val="en-US"/>
        </w:rPr>
        <w:t xml:space="preserve"> (Jakarta Selatan: Yayasan Studi Hukum dan Kebijakan Indonesia (YSHK), t.t.), 64.</w:t>
      </w:r>
      <w:r w:rsidRPr="0024403F">
        <w:rPr>
          <w:rFonts w:asciiTheme="majorHAnsi" w:hAnsiTheme="majorHAnsi" w:cstheme="majorHAnsi"/>
          <w:sz w:val="18"/>
          <w:szCs w:val="18"/>
        </w:rPr>
        <w:fldChar w:fldCharType="end"/>
      </w:r>
    </w:p>
  </w:footnote>
  <w:footnote w:id="3">
    <w:p w14:paraId="1386B0CB" w14:textId="64748A10"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06279" w:rsidRPr="0024403F">
        <w:rPr>
          <w:rFonts w:asciiTheme="majorHAnsi" w:hAnsiTheme="majorHAnsi" w:cstheme="majorHAnsi"/>
          <w:sz w:val="18"/>
          <w:szCs w:val="18"/>
        </w:rPr>
        <w:instrText xml:space="preserve"> ADDIN ZOTERO_ITEM CSL_CITATION {"citationID":"4U0BMe2R","properties":{"formattedCitation":"Andi Saputra, \\uc0\\u8220{}PSHK UII: Obesitas Regulasi di Peraturan Menteri, Omnibus Law Tak Tepat,\\uc0\\u8221{} detiknews, diakses 23 April 2022, https://news.detik.com/berita/d-5891796/pshk-uii-obesitas-regulasi-di-peraturan-menteri-omnibus-law-tak-tepat.","plainCitation":"Andi Saputra, “PSHK UII: Obesitas Regulasi di Peraturan Menteri, Omnibus Law Tak Tepat,” detiknews, diakses 23 April 2022, https://news.detik.com/berita/d-5891796/pshk-uii-obesitas-regulasi-di-peraturan-menteri-omnibus-law-tak-tepat.","noteIndex":3},"citationItems":[{"id":596,"uris":["http://zotero.org/users/5443588/items/8Q4XVD6S"],"itemData":{"id":596,"type":"webpage","abstract":"PSHK UII menyatakan obesitas regulasi ada di level peraturan menteri (Permen) dan bukan di level UU. Sehingga solusi omnibus law dinilai tidak tepat.","container-title":"detiknews","language":"id-ID","title":"PSHK UII: Obesitas Regulasi di Peraturan Menteri, Omnibus Law Tak Tepat","title-short":"PSHK UII","URL":"https://news.detik.com/berita/d-5891796/pshk-uii-obesitas-regulasi-di-peraturan-menteri-omnibus-law-tak-tepat","author":[{"family":"Saputra","given":"Andi"}],"accessed":{"date-parts":[["2022",4,23]]}}}],"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Andi Saputra, “PSHK UII: Obesitas Regulasi di Peraturan Menteri, Omnibus Law Tak Tepat,” detiknews, diakses 23 April 2022, https://news.detik.com/berita/d-5891796/pshk-uii-obesitas-regulasi-di-peraturan-menteri-omnibus-law-tak-tepat.</w:t>
      </w:r>
      <w:r w:rsidRPr="0024403F">
        <w:rPr>
          <w:rFonts w:asciiTheme="majorHAnsi" w:hAnsiTheme="majorHAnsi" w:cstheme="majorHAnsi"/>
          <w:sz w:val="18"/>
          <w:szCs w:val="18"/>
        </w:rPr>
        <w:fldChar w:fldCharType="end"/>
      </w:r>
    </w:p>
  </w:footnote>
  <w:footnote w:id="4">
    <w:p w14:paraId="31391D76" w14:textId="6521D16B"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06279" w:rsidRPr="0024403F">
        <w:rPr>
          <w:rFonts w:asciiTheme="majorHAnsi" w:hAnsiTheme="majorHAnsi" w:cstheme="majorHAnsi"/>
          <w:sz w:val="18"/>
          <w:szCs w:val="18"/>
        </w:rPr>
        <w:instrText xml:space="preserve"> ADDIN ZOTERO_ITEM CSL_CITATION {"citationID":"bwQdzDDM","properties":{"formattedCitation":"Idul Rishan dan Imroatun Nika, \\uc0\\u8220{}Inkompatibilitas Metode Omnibus Law Dalam Penyederhanaan Regulasi,\\uc0\\u8221{} {\\i{}Jurnal Hukum IUS QUIA IUSTUM} 29, no. 1 (31 Januari 2022): 166\\uc0\\u8211{}88, https://doi.org/10.20885/iustum.vol29.iss1.art8.","plainCitation":"Idul Rishan dan Imroatun Nika, “Inkompatibilitas Metode Omnibus Law Dalam Penyederhanaan Regulasi,” Jurnal Hukum IUS QUIA IUSTUM 29, no. 1 (31 Januari 2022): 166–88, https://doi.org/10.20885/iustum.vol29.iss1.art8.","noteIndex":4},"citationItems":[{"id":600,"uris":["http://zotero.org/users/5443588/items/8D4P886G"],"itemData":{"id":600,"type":"article-journal","abstract":"This study focuses on the application of the omnibus law method in the simplification of regulations. This study aims to analyze two things. First, the application of the omnibus law method in the simplification of regulations in Indonesia. Second, formulating the reasons from which the omnibus method is not compatible in the simplification of regulations. The method used is a doctrinal legal research based on secondary data. The results of the study conclude that: (1) there are 11 regulatory clusters in the Job Creation Law with 81 affected laws and 2 repealed laws. By the time this study was completed, the omnibus law method had produced 47 Government Regulations and 4 Presidential Regulations. (2) there is no correlation between the usefulness of the omnibus law method and the efforts to simplify regulations. There are three reasons behind it, which includes: (a) the absence of regulatory normality threshold indicators (b) the omnibus method is more compatible to be used as a technique for simplifying regulations and (c) the omnibus law method creates the need for complex regulatory synchronization and has the potential to increase the volume of regulation.Key Words: Omnibus law; simplification of regulations; job creationAbstrakStudi ini difokuskan pada penerapan metode omnibus law dalam penyederhanaan regulasi. Penelitian ini bertujuan untuk menganalisis dua hal. Pertama, penerapan metode omnibus law dalam penyederhanaan regulasi di Indonesia. Kedua, merumuskan alasan bahwa metode omnibus tidak kompatibel dalam menyederhanakan regulasi. Metode penelitian ini merupakan penelitian hukum doktriner dengan basis data sekunder. Hasil penelitian menyimpulkan: (1) terdapat 11 klaster pengaturan dalam UU CK dengan 81 undang-undang terdampak dan 2 undang-undang yang dicabut. Sampai dengan studi ini diselesaikan, metode omnibus law telah melahirkan 47 PP dan 4 Perpres. (2) tidak ada korelasi antara kegunaan metode omnibus dengan upaya penyederhanaan regulasi. Tiga alasan yang melatarbelakangi antara lain: (a) ketiadaan indikator ambang batas kenormalan regulasi (b) metode omnibus lebih kompatibel digunakan sebagai teknik penyederhanaan legislasi dan (c) metode omnibus law melahirkan kebutuhan sinkronisasi regulasi yang kompleks dan potensial menambah volume regulasi.Kata-kata Kunci: Omnibus law; penyederhanaan regulasi; cipta kerja","container-title":"Jurnal Hukum IUS QUIA IUSTUM","DOI":"10.20885/iustum.vol29.iss1.art8","ISSN":"2527-502X","issue":"1","journalAbbreviation":"Iustum","language":"en","license":"Copyright (c) 2022 Jurnal Hukum IUS QUIA IUSTUM","note":"number: 1","page":"166-188","source":"journal.uii.ac.id","title":"Inkompatibilitas Metode Omnibus Law Dalam Penyederhanaan Regulasi","volume":"29","author":[{"family":"Rishan","given":"Idul"},{"family":"Nika","given":"Imroatun"}],"issued":{"date-parts":[["2022",1,31]]}}}],"schema":"https://github.com/citation-style-language/schema/raw/master/csl-citation.json"}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Idul Rishan dan Imroatun Nika, “Inkompatibilitas Metode Omnibus Law Dalam Penyederhanaan Regulasi,” </w:t>
      </w:r>
      <w:r w:rsidR="00906279" w:rsidRPr="0024403F">
        <w:rPr>
          <w:rFonts w:asciiTheme="majorHAnsi" w:hAnsiTheme="majorHAnsi" w:cstheme="majorHAnsi"/>
          <w:i/>
          <w:iCs/>
          <w:sz w:val="18"/>
          <w:szCs w:val="18"/>
          <w:lang w:val="en-US"/>
        </w:rPr>
        <w:t>Jurnal Hukum IUS QUIA IUSTUM</w:t>
      </w:r>
      <w:r w:rsidR="00906279" w:rsidRPr="0024403F">
        <w:rPr>
          <w:rFonts w:asciiTheme="majorHAnsi" w:hAnsiTheme="majorHAnsi" w:cstheme="majorHAnsi"/>
          <w:sz w:val="18"/>
          <w:szCs w:val="18"/>
          <w:lang w:val="en-US"/>
        </w:rPr>
        <w:t xml:space="preserve"> 29, no. 1 (31 Januari 2022): 166–88, https://doi.org/10.20885/iustum.vol29.iss1.art8.</w:t>
      </w:r>
      <w:r w:rsidRPr="0024403F">
        <w:rPr>
          <w:rFonts w:asciiTheme="majorHAnsi" w:hAnsiTheme="majorHAnsi" w:cstheme="majorHAnsi"/>
          <w:sz w:val="18"/>
          <w:szCs w:val="18"/>
        </w:rPr>
        <w:fldChar w:fldCharType="end"/>
      </w:r>
    </w:p>
  </w:footnote>
  <w:footnote w:id="5">
    <w:p w14:paraId="10A8A484" w14:textId="0A251FA7" w:rsidR="009A7697" w:rsidRPr="0024403F" w:rsidRDefault="009A7697"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Pr="0024403F">
        <w:rPr>
          <w:rFonts w:asciiTheme="majorHAnsi" w:hAnsiTheme="majorHAnsi" w:cstheme="majorHAnsi"/>
          <w:sz w:val="18"/>
          <w:szCs w:val="18"/>
        </w:rPr>
        <w:instrText xml:space="preserve"> ADDIN ZOTERO_ITEM CSL_CITATION {"citationID":"Vc4TyxJp","properties":{"formattedCitation":"Ahmad Mukri Aji et Al, \\uc0\\u8220{}The Ministerial Regulation Position in the Hierarchy of Legislation in the Indonesian Legal System,\\uc0\\u8221{} {\\i{}International Journal of Advanced Science and Technology} 29, no. 2 (13 Januari 2020): 2214\\uc0\\u8211{}24.","plainCitation":"Ahmad Mukri Aji et Al, “The Ministerial Regulation Position in the Hierarchy of Legislation in the Indonesian Legal System,” International Journal of Advanced Science and Technology 29, no. 2 (13 Januari 2020): 2214–24.","noteIndex":5},"citationItems":[{"id":1495,"uris":["http://zotero.org/users/5443588/items/YJWEQN6B"],"itemData":{"id":1495,"type":"article-journal","abstract":"The position of the Ministerial Regulation in the law concerning the Formation of Regulations creates an ambiguity. This is based on the statement that the Ministerial Regulation is recognized and has binding legal force as long as it is ordered by the higher Regulations or formed on the basis of authority. However, in its implementation, there are Ministerial Regulations which are not depending on the regulations above yet based on authority. Therefore, it raises a delegitimization of the Ministerial Regulation. This is due to the lack of validity of the more general norm rules, whereas a legitimacy reflects morality or truth since the law is not autonomous or only based on authority alone. The method used in this research is normative legal research with primary legal materials such as legislation, and legal documents, by carrying out a statute approach, conceptual approach, and comparative approach. The results of the study reveal that the Ministerial Regulation experienced problems both legally and in its implementation, both in terms of the legality of the policy itself or in its application in the community. Consequently, it rises to legal uncertainty and conflicting with higher regulations. Therefore, it is necessary to confirm in order to clarify the contents of the Ministerial Regulation by revising the relevant laws and regulations.","container-title":"International Journal of Advanced Science and Technology","ISSN":"2005-4238","issue":"2","language":"en","license":"Copyright (c) 2020","note":"number: 2","page":"2214-2224","source":"sersc.org","title":"The Ministerial Regulation Position in the Hierarchy of Legislation in the Indonesian Legal System","volume":"29","author":[{"family":"Al","given":"Ahmad Mukri Aji","dropping-particle":"et"}],"issued":{"date-parts":[["2020",1,13]]}}}],"schema":"https://github.com/citation-style-language/schema/raw/master/csl-citation.json"}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Ahmad Mukri Aji et Al, “The Ministerial Regulation Position in the Hierarchy of Legislation in the Indonesian Legal System,” </w:t>
      </w:r>
      <w:r w:rsidRPr="0024403F">
        <w:rPr>
          <w:rFonts w:asciiTheme="majorHAnsi" w:hAnsiTheme="majorHAnsi" w:cstheme="majorHAnsi"/>
          <w:i/>
          <w:iCs/>
          <w:sz w:val="18"/>
          <w:szCs w:val="18"/>
          <w:lang w:val="en-US"/>
        </w:rPr>
        <w:t>International Journal of Advanced Science and Technology</w:t>
      </w:r>
      <w:r w:rsidRPr="0024403F">
        <w:rPr>
          <w:rFonts w:asciiTheme="majorHAnsi" w:hAnsiTheme="majorHAnsi" w:cstheme="majorHAnsi"/>
          <w:sz w:val="18"/>
          <w:szCs w:val="18"/>
          <w:lang w:val="en-US"/>
        </w:rPr>
        <w:t xml:space="preserve"> 29, no. 2 (13 Januari 2020): 2214–24.</w:t>
      </w:r>
      <w:r w:rsidRPr="0024403F">
        <w:rPr>
          <w:rFonts w:asciiTheme="majorHAnsi" w:hAnsiTheme="majorHAnsi" w:cstheme="majorHAnsi"/>
          <w:sz w:val="18"/>
          <w:szCs w:val="18"/>
        </w:rPr>
        <w:fldChar w:fldCharType="end"/>
      </w:r>
    </w:p>
  </w:footnote>
  <w:footnote w:id="6">
    <w:p w14:paraId="183FB8FB" w14:textId="3CC3F5B5" w:rsidR="00FB477D" w:rsidRPr="0024403F" w:rsidRDefault="00FB477D"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Pr="0024403F">
        <w:rPr>
          <w:rFonts w:asciiTheme="majorHAnsi" w:hAnsiTheme="majorHAnsi" w:cstheme="majorHAnsi"/>
          <w:sz w:val="18"/>
          <w:szCs w:val="18"/>
        </w:rPr>
        <w:instrText xml:space="preserve"> ADDIN ZOTERO_ITEM CSL_CITATION {"citationID":"ftW4aRCU","properties":{"formattedCitation":"Mariyana Angelova, Thomas K\\uc0\\u246{}nig, dan Sven-Oliver Proksch, \\uc0\\u8220{}Responsibility Attribution in Coalition Governments: Evidence from Germany,\\uc0\\u8221{} {\\i{}Electoral Studies} 43 (1 September 2016): 133\\uc0\\u8211{}49, https://doi.org/10.1016/j.electstud.2016.06.004.","plainCitation":"Mariyana Angelova, Thomas König, dan Sven-Oliver Proksch, “Responsibility Attribution in Coalition Governments: Evidence from Germany,” Electoral Studies 43 (1 September 2016): 133–49, https://doi.org/10.1016/j.electstud.2016.06.004.","noteIndex":6},"citationItems":[{"id":1403,"uris":["http://zotero.org/users/5443588/items/3DP3A5GX"],"itemData":{"id":1403,"type":"article-journal","abstract":"Models of coalition governance suggest that political parties pursue the interests of their electorate through the ministerial control of policy in their portfolios. Yet, little is known whether voters reward or punish coalition parties for policy performance in their portfolios. This study investigates voters’ evaluations of the policy priorities of coalition parties and their responsibility attribution in twenty policy areas using survey data from Germany. Specifically, we investigate whether voters attribute policy responsibility equally across coalition parties, along the jurisdictional lines of ministerial portfolios, or to the dominant party in the coalition. Our findings suggest that party size, prime minister status, and ministerial portfolios are decisive for responsibility attribution.","container-title":"Electoral Studies","DOI":"10.1016/j.electstud.2016.06.004","ISSN":"0261-3794","journalAbbreviation":"Electoral Studies","language":"en","page":"133-149","source":"ScienceDirect","title":"Responsibility attribution in coalition governments: Evidence from Germany","title-short":"Responsibility attribution in coalition governments","volume":"43","author":[{"family":"Angelova","given":"Mariyana"},{"family":"König","given":"Thomas"},{"family":"Proksch","given":"Sven-Oliver"}],"issued":{"date-parts":[["2016",9,1]]}}}],"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Mariyana Angelova, Thomas König, dan Sven-Oliver Proksch, “Responsibility Attribution in Coalition Governments: Evidence from Germany,” </w:t>
      </w:r>
      <w:r w:rsidRPr="0024403F">
        <w:rPr>
          <w:rFonts w:asciiTheme="majorHAnsi" w:hAnsiTheme="majorHAnsi" w:cstheme="majorHAnsi"/>
          <w:i/>
          <w:iCs/>
          <w:sz w:val="18"/>
          <w:szCs w:val="18"/>
          <w:lang w:val="en-US"/>
        </w:rPr>
        <w:t>Electoral Studies</w:t>
      </w:r>
      <w:r w:rsidRPr="0024403F">
        <w:rPr>
          <w:rFonts w:asciiTheme="majorHAnsi" w:hAnsiTheme="majorHAnsi" w:cstheme="majorHAnsi"/>
          <w:sz w:val="18"/>
          <w:szCs w:val="18"/>
          <w:lang w:val="en-US"/>
        </w:rPr>
        <w:t xml:space="preserve"> 43 (1 September 2016): 133–49, https://doi.org/10.1016/j.electstud.2016.06.004.</w:t>
      </w:r>
      <w:r w:rsidRPr="0024403F">
        <w:rPr>
          <w:rFonts w:asciiTheme="majorHAnsi" w:hAnsiTheme="majorHAnsi" w:cstheme="majorHAnsi"/>
          <w:sz w:val="18"/>
          <w:szCs w:val="18"/>
        </w:rPr>
        <w:fldChar w:fldCharType="end"/>
      </w:r>
    </w:p>
  </w:footnote>
  <w:footnote w:id="7">
    <w:p w14:paraId="4A532D0E" w14:textId="65069661" w:rsidR="008E30AB" w:rsidRPr="0024403F" w:rsidRDefault="008E30AB"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{"citationID":"mQ654s0s","properties":{"formattedCitation":"Ni\\uc0\\u8217{}matul Huda, Allan Fatchan Ghani Wardana, Yuniar Riza Hakiki, Suha Qoriroh, \\uc0\\u8220{}Formulasi Konsep Tindak Lanjut Putusan Pengujian UU oleh MK yang bersifat Mengatur\\uc0\\u8221{} (Laporan Penelitian, Kerjasama Mahkamah Konstitusi dan Fakultas Hukum Universitas Islam Indonesia, Jakarta 2019).","plainCitation":"Ni’matul Huda, Allan Fatchan Ghani Wardana, Yuniar Riza Hakiki, Suha Qoriroh, “Formulasi Konsep Tindak Lanjut Putusan Pengujian UU oleh MK yang bersifat Mengatur” (Laporan Penelitian, Kerjasama Mahkamah Konstitusi dan Fakultas Hukum Universitas Islam Indonesia, Jakarta 2019).","noteIndex":7},"citationItems":[{"id":599,"uris":["http://zotero.org/users/5443588/items/49ID7PLR"],"itemData":{"id":599,"type":"document","publisher":"Laporan Penelitian, Kerjasama Mahkamah Konstitusi dan Fakultas Hukum Universitas Islam Indonesia","title":"Formulasi Konsep Tindak Lanjut Putusan Pengujian UU oleh MK yang bersifat Mengatur","author":[{"family":"","given":"Ni'matul Huda, Allan Fatchan Ghani Wardana, Yuniar Riza Hakiki, Suha Qoriroh"}],"issued":{"date-parts":[["2019"]],"season":"Jakarta"}}}],"schema":"https://github.com/citation-style-language/schema/raw/master/csl-citation.json"}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Ni’matul Huda, Allan Fatchan Ghani Wardana, Yuniar Riza Hakiki, Suha Qoriroh, “Formulasi Konsep Tindak Lanjut Putusan Pengujian UU oleh MK yang bersifat Mengatur” (Laporan Penelitian, Kerjasama Mahkamah Konstitusi dan Fakultas Hukum Universitas Islam Indonesia, Jakarta 2019).</w:t>
      </w:r>
      <w:r w:rsidRPr="0024403F">
        <w:rPr>
          <w:rFonts w:asciiTheme="majorHAnsi" w:hAnsiTheme="majorHAnsi" w:cstheme="majorHAnsi"/>
          <w:sz w:val="18"/>
          <w:szCs w:val="18"/>
        </w:rPr>
        <w:fldChar w:fldCharType="end"/>
      </w:r>
    </w:p>
  </w:footnote>
  <w:footnote w:id="8">
    <w:p w14:paraId="265742A3" w14:textId="1AFDC3AF" w:rsidR="008E30AB" w:rsidRPr="0024403F" w:rsidRDefault="008E30AB"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{"citationID":"48kI6qfo","properties":{"formattedCitation":"Simon Butt dan Prayekti Murharjanti, \\uc0\\u8220{}What constitutes compliance? Legislative responses to Constitutional Court decisions in Indonesia,\\uc0\\u8221{} {\\i{}International Journal of Constitutional Law} 20, no. 1 (1 Januari 2022): 428\\uc0\\u8211{}53, https://doi.org/10.1093/icon/moac014.","plainCitation":"Simon Butt dan Prayekti Murharjanti, “What constitutes compliance? Legislative responses to Constitutional Court decisions in Indonesia,” International Journal of Constitutional Law 20, no. 1 (1 Januari 2022): 428–53, https://doi.org/10.1093/icon/moac014.","noteIndex":8},"citationItems":[{"id":1542,"uris":["http://zotero.org/users/5443588/items/TZF34K7C"],"itemData":{"id":1542,"type":"article-journal","abstract":"This article examines how the government responds to decisions of the Indonesian Constitutional Court, focusing on the legislature. While Indonesian law requires that Constitutional Court decisions be followed up by legislation, we argue that most of them in fact require no legislative response, despite consistent complaints of legislative inaction from commentators and even the Court itself. Instead, if these decisions are followed up at all, they are more commonly reflected in regulatory instruments and judicial decisions, some of which have been inconsistent and have therefore undermined the effectiveness of the Court’s constitutional review function. We show that reliance on the legislature for a response can even be dangerous. Using two case studies, we demonstrate how the legislature has simply revived provisions the Court invalidated. The legislature has even added provisions that were inconsistent with the tenor of the Court’s decisions and that appear to reflect the commercial or institutional interests of drafters and worsen the constitutional damage the challenge was brought to address. This suggests that constitutional review can be counterproductive in the Indonesian context, if the legislative response is at odds with the interests of those bringing the challenge.","container-title":"International Journal of Constitutional Law","DOI":"10.1093/icon/moac014","ISSN":"1474-2640","issue":"1","journalAbbreviation":"International Journal of Constitutional Law","page":"428-453","source":"Silverchair","title":"What constitutes compliance? Legislative responses to Constitutional Court decisions in Indonesia","title-short":"What constitutes compliance?","volume":"20","author":[{"family":"Butt","given":"Simon"},{"family":"Murharjanti","given":"Prayekti"}],"issued":{"date-parts":[["2022",1,1]]}}}],"schema":"https://github.com/citation-style-language/schema/raw/master/csl-citation.json"}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Simon Butt dan Prayekti Murharjanti, “What constitutes compliance? Legislative responses to Constitutional Court decisions in Indonesia,” </w:t>
      </w:r>
      <w:r w:rsidRPr="0024403F">
        <w:rPr>
          <w:rFonts w:asciiTheme="majorHAnsi" w:hAnsiTheme="majorHAnsi" w:cstheme="majorHAnsi"/>
          <w:i/>
          <w:iCs/>
          <w:sz w:val="18"/>
          <w:szCs w:val="18"/>
          <w:lang w:val="en-US"/>
        </w:rPr>
        <w:t>International Journal of Constitutional Law</w:t>
      </w:r>
      <w:r w:rsidRPr="0024403F">
        <w:rPr>
          <w:rFonts w:asciiTheme="majorHAnsi" w:hAnsiTheme="majorHAnsi" w:cstheme="majorHAnsi"/>
          <w:sz w:val="18"/>
          <w:szCs w:val="18"/>
          <w:lang w:val="en-US"/>
        </w:rPr>
        <w:t xml:space="preserve"> 20, no. 1 (1 Januari 2022): 428–53, https://doi.org/10.1093/icon/moac014.</w:t>
      </w:r>
      <w:r w:rsidRPr="0024403F">
        <w:rPr>
          <w:rFonts w:asciiTheme="majorHAnsi" w:hAnsiTheme="majorHAnsi" w:cstheme="majorHAnsi"/>
          <w:sz w:val="18"/>
          <w:szCs w:val="18"/>
        </w:rPr>
        <w:fldChar w:fldCharType="end"/>
      </w:r>
    </w:p>
  </w:footnote>
  <w:footnote w:id="9">
    <w:p w14:paraId="6CA82CDA" w14:textId="77A861F5"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{"citationID":"Q0ttgR0b","properties":{"formattedCitation":"Ibnu Sina Chandranegara, \\uc0\\u8220{}Bentuk-Bentuk Perampingan Dan Harmonisasi Regulasi,\\uc0\\u8221{} {\\i{}Jurnal Hukum IUS QUIA IUSTUM} 26, no. 3 (2019): 442, https://doi.org/10.20885/iustum.vol26.iss3.art1.","plainCitation":"Ibnu Sina Chandranegara, “Bentuk-Bentuk Perampingan Dan Harmonisasi Regulasi,” Jurnal Hukum IUS QUIA IUSTUM 26, no. 3 (2019): 442, https://doi.org/10.20885/iustum.vol26.iss3.art1.","noteIndex":9},"citationItems":[{"id":603,"uris":["http://zotero.org/users/5443588/items/5JZPDFMK"],"itemData":{"id":603,"type":"article-journal","abstract":"Since the reformation era, the number of laws and regulations has continued to increase. In the period 2000-2017 there have been 35,901 regulations. The highest number is Regional Regulation (Perda), which has reached 14,225 Perda. Followed by Ministerial Regulation (Permen) as many as 11,873 regulations. While on the third place, sit 3,163 non-ministerial regulations. This research has the main objective of finding the best alternative policy to simplify and rearrange the regulations as an agenda for the law reform. This is a normative juridical research. The data used are secondary data that includes primary and secondary legal material in the form of relevant laws and regulations used as samples as examples of regulations that are out of sync, incoherent, and potentially overlapping. The results concluded that the arrangement of the regulations can be carried out on three sectors, which are the simplification of regulations, reconceptualization in order to understand the regulatory requirements, and creating synergies amongst the the law-makers.","container-title":"Jurnal Hukum IUS QUIA IUSTUM","DOI":"10.20885/iustum.vol26.iss3.art1","ISSN":"2527-502X","issue":"3","journalAbbreviation":"Ius Quia Iustum","language":"en","license":"Copyright (c) 2020 Jurnal Hukum IUS QUIA IUSTUM","note":"number: 3","page":"435-457","source":"journal.uii.ac.id","title":"Bentuk-Bentuk Perampingan dan Harmonisasi Regulasi","volume":"26","author":[{"family":"Chandranegara","given":"Ibnu Sina"}],"issued":{"date-parts":[["2019"]]}},"locator":"442"}],"schema":"https://github.com/citation-style-language/schema/raw/master/csl-citation.json"}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Ibnu Sina Chandranegara, “Bentuk-Bentuk Perampingan Dan Harmonisasi Regulasi,” </w:t>
      </w:r>
      <w:r w:rsidR="00906279" w:rsidRPr="0024403F">
        <w:rPr>
          <w:rFonts w:asciiTheme="majorHAnsi" w:hAnsiTheme="majorHAnsi" w:cstheme="majorHAnsi"/>
          <w:i/>
          <w:iCs/>
          <w:sz w:val="18"/>
          <w:szCs w:val="18"/>
          <w:lang w:val="en-US"/>
        </w:rPr>
        <w:t>Jurnal Hukum IUS QUIA IUSTUM</w:t>
      </w:r>
      <w:r w:rsidR="00906279" w:rsidRPr="0024403F">
        <w:rPr>
          <w:rFonts w:asciiTheme="majorHAnsi" w:hAnsiTheme="majorHAnsi" w:cstheme="majorHAnsi"/>
          <w:sz w:val="18"/>
          <w:szCs w:val="18"/>
          <w:lang w:val="en-US"/>
        </w:rPr>
        <w:t xml:space="preserve"> 26, no. 3 (2019): 442, https://doi.org/10.20885/iustum.vol26.iss3.art1.</w:t>
      </w:r>
      <w:r w:rsidRPr="0024403F">
        <w:rPr>
          <w:rFonts w:asciiTheme="majorHAnsi" w:hAnsiTheme="majorHAnsi" w:cstheme="majorHAnsi"/>
          <w:sz w:val="18"/>
          <w:szCs w:val="18"/>
        </w:rPr>
        <w:fldChar w:fldCharType="end"/>
      </w:r>
    </w:p>
  </w:footnote>
  <w:footnote w:id="10">
    <w:p w14:paraId="0ACD9651" w14:textId="2A638B2F"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{"citationID":"1rjNkZZd","properties":{"formattedCitation":"Ni\\uc0\\u8217{}matul Huda, \\uc0\\u8220{}Kedudukan Dan Materi Muatan Peraturan Menteri Dalam Perspektif Sistem Presidensial,\\uc0\\u8221{} {\\i{}Jurnal Hukum IUS QUIA IUSTUM} 28, no. 3 (25 Agustus 2021): 550\\uc0\\u8211{}71, https://doi.org/10.20885/iustum.vol28.iss3.art5.","plainCitation":"Ni’matul Huda, “Kedudukan Dan Materi Muatan Peraturan Menteri Dalam Perspektif Sistem Presidensial,” Jurnal Hukum IUS QUIA IUSTUM 28, no. 3 (25 Agustus 2021): 550–71, https://doi.org/10.20885/iustum.vol28.iss3.art5.","noteIndex":10},"citationItems":[{"id":598,"uris":["http://zotero.org/users/5443588/items/2FYD2XNH"],"itemData":{"id":598,"type":"article-journal","abstract":"The obesity of regulations at the central and regional levels lead to problems in structuring legislation. The various ministerial regulations make it difficult for local governments to follow up. The problems studied in this research are first, what is the position and content of ministerial regulations in the perspective of legislation and the presidential system in Indonesia? Second, how to avoid obesity in the formation of ministerial regulations in the administration of government? The two problems will be analyzed in descriptive-qualitative manner, using statutory and conceptual approaches. The results of this study conclude that first, ministerial regulations are essentially not included in the hierarchy of laws and regulations, yet they can be issued by the minister as long as there is an authority or order from a higher law to regulate it and only applies internally for the benefit of the present institution. However, the ministers in the presidential system are not responsible to the parliament but to the president, hence the right person to stipulate the laws and regulations should be the president; second, to avoid the occurrence of obesity in the formation of ministerial regulations, the president only needs to form a Government Regulation or Presidential Regulation, and does not need to delegate it to the minister to form implementing regulations.","container-title":"Jurnal Hukum IUS QUIA IUSTUM","DOI":"10.20885/iustum.vol28.iss3.art5","ISSN":"2527-502X","issue":"3","journalAbbreviation":"Iustum","language":"en","license":"Copyright (c) 2021 Jurnal Hukum IUS QUIA IUSTUM","note":"number: 3","page":"550-571","source":"journal.uii.ac.id","title":"Kedudukan Dan Materi Muatan Peraturan Menteri Dalam Perspektif Sistem Presidensial","volume":"28","author":[{"family":"Huda","given":"Ni'matul"}],"issued":{"date-parts":[["2021",8,25]]}}}],"schema":"https://github.com/citation-style-language/schema/raw/master/csl-citation.json"} </w:instrText>
      </w:r>
      <w:r w:rsidRPr="0024403F">
        <w:rPr>
          <w:rFonts w:asciiTheme="majorHAnsi" w:hAnsiTheme="majorHAnsi" w:cstheme="majorHAnsi"/>
          <w:sz w:val="18"/>
          <w:szCs w:val="18"/>
        </w:rPr>
        <w:fldChar w:fldCharType="separate"/>
      </w:r>
      <w:r w:rsidR="008E30AB" w:rsidRPr="0024403F">
        <w:rPr>
          <w:rFonts w:asciiTheme="majorHAnsi" w:hAnsiTheme="majorHAnsi" w:cstheme="majorHAnsi"/>
          <w:sz w:val="18"/>
          <w:szCs w:val="18"/>
          <w:lang w:val="en-US"/>
        </w:rPr>
        <w:t xml:space="preserve">Ni’matul Huda, “Kedudukan Dan Materi Muatan Peraturan Menteri Dalam Perspektif Sistem Presidensial,” </w:t>
      </w:r>
      <w:r w:rsidR="008E30AB" w:rsidRPr="0024403F">
        <w:rPr>
          <w:rFonts w:asciiTheme="majorHAnsi" w:hAnsiTheme="majorHAnsi" w:cstheme="majorHAnsi"/>
          <w:i/>
          <w:iCs/>
          <w:sz w:val="18"/>
          <w:szCs w:val="18"/>
          <w:lang w:val="en-US"/>
        </w:rPr>
        <w:t>Jurnal Hukum IUS QUIA IUSTUM</w:t>
      </w:r>
      <w:r w:rsidR="008E30AB" w:rsidRPr="0024403F">
        <w:rPr>
          <w:rFonts w:asciiTheme="majorHAnsi" w:hAnsiTheme="majorHAnsi" w:cstheme="majorHAnsi"/>
          <w:sz w:val="18"/>
          <w:szCs w:val="18"/>
          <w:lang w:val="en-US"/>
        </w:rPr>
        <w:t xml:space="preserve"> 28, no. 3 (25 Agustus 2021): 550–71, https://doi.org/10.20885/iustum.vol28.iss3.art5.</w:t>
      </w:r>
      <w:r w:rsidRPr="0024403F">
        <w:rPr>
          <w:rFonts w:asciiTheme="majorHAnsi" w:hAnsiTheme="majorHAnsi" w:cstheme="majorHAnsi"/>
          <w:sz w:val="18"/>
          <w:szCs w:val="18"/>
        </w:rPr>
        <w:fldChar w:fldCharType="end"/>
      </w:r>
    </w:p>
  </w:footnote>
  <w:footnote w:id="11">
    <w:p w14:paraId="0C0C634B" w14:textId="74DE451A"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{"citationID":"gnWJNGhO","properties":{"formattedCitation":"Sofyan Apendi, \\uc0\\u8220{}Ketiadaan Peraturan Menteri Dalam Hierarki Peraturan Perundang-Undangan Nasional Dan Implikasinya Terhadap Penataan Regulasi Dalam Sistem Hukum Nasiona (Studi Pengaturan Peraturan Menteri dalam Hierarki Peraturan Perundang-Undangan),\\uc0\\u8221{} {\\i{}PAKUAN LAW REVIEW} 7, no. 1 (31 Maret 2021): 111\\uc0\\u8211{}26, https://doi.org/10.33751/palar.v7i1.3076.","plainCitation":"Sofyan Apendi, “Ketiadaan Peraturan Menteri Dalam Hierarki Peraturan Perundang-Undangan Nasional Dan Implikasinya Terhadap Penataan Regulasi Dalam Sistem Hukum Nasiona (Studi Pengaturan Peraturan Menteri dalam Hierarki Peraturan Perundang-Undangan),” PAKUAN LAW REVIEW 7, no. 1 (31 Maret 2021): 111–26, https://doi.org/10.33751/palar.v7i1.3076.","noteIndex":11},"citationItems":[{"id":597,"uris":["http://zotero.org/users/5443588/items/QQ4NDHJ6"],"itemData":{"id":597,"type":"article-journal","abstract":"Materi muatan dalam pelaksanaan penyelenggaraan pemerintahan seharusnya tidak diatur lagi dalam suatu Peraturan Menteri, akan tetapi cukup diatur secara tuntas dalam Peraturan Presiden. Hal ini disebabkan Peraturan Presiden memiliki efektivitas keberlakukan dan daya mengikat yang lebih kuat dalam sistem peraturan perundang-undangan Indonesia dibandingkan Peraturan Menteri yang justru tidak termasuk dalam hierarki peraturan perundang-undangan, sehingga seluruh kebijakan Pemerintah yang diatur dalam Peraturan Presiden dapat secara langsung efektif dilaksanakan tanpa harus menunggu disusunnya Peraturan Menteri. Penelitian ini diharapkan dapat memberikan rekomendasi bagi penyelesaian ketidakjelasan posisi Peraturan Menteri dalam hierarki peraturan perundang-undangan Indonesia dengan didukung oleh dasar juridis dan teoritis yang lebih kuat sekaligus mencoba mencari jawaban atas pertanyaan: dapatkah Peraturan Menteri benar-benar ditiadakan dalam sistem hukum nasional sebagai solusi permasalahan  over  regulasi di Indonesia sehingga menjadikan Peraturan Presiden sebagai peraturan pelaksana Undang-Undang dan/atau Peraturan Pemerintah tingkat pusat paling akhir yang memang menjadi bagian dari hierarki peraturan perundang-undangkan.","container-title":"PAKUAN LAW REVIEW","DOI":"10.33751/palar.v7i1.3076","ISSN":"2614-1485","issue":"1","language":"id","note":"number: 1","page":"111-126","source":"journal.unpak.ac.id","title":"Ketiadaan Peraturan Menteri Dalam Hierarki Peraturan Perundang-Undangan Nasional Dan Implikasinya Terhadap Penataan Regulasi Dalam Sistem Hukum Nasiona (Studi Pengaturan Peraturan Menteri dalam Hierarki Peraturan Perundang-Undangan)","volume":"7","author":[{"family":"Apendi","given":"Sofyan"}],"issued":{"date-parts":[["2021",3,31]]}}}],"schema":"https://github.com/citation-style-language/schema/raw/master/csl-citation.json"}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Sofyan Apendi, “Ketiadaan Peraturan Menteri Dalam Hierarki Peraturan Perundang-Undangan Nasional Dan Implikasinya Terhadap Penataan Regulasi Dalam Sistem Hukum Nasiona (Studi Pengaturan Peraturan Menteri dalam Hierarki Peraturan Perundang-Undangan),” </w:t>
      </w:r>
      <w:r w:rsidR="00906279" w:rsidRPr="0024403F">
        <w:rPr>
          <w:rFonts w:asciiTheme="majorHAnsi" w:hAnsiTheme="majorHAnsi" w:cstheme="majorHAnsi"/>
          <w:i/>
          <w:iCs/>
          <w:sz w:val="18"/>
          <w:szCs w:val="18"/>
          <w:lang w:val="en-US"/>
        </w:rPr>
        <w:t>PAKUAN LAW REVIEW</w:t>
      </w:r>
      <w:r w:rsidR="00906279" w:rsidRPr="0024403F">
        <w:rPr>
          <w:rFonts w:asciiTheme="majorHAnsi" w:hAnsiTheme="majorHAnsi" w:cstheme="majorHAnsi"/>
          <w:sz w:val="18"/>
          <w:szCs w:val="18"/>
          <w:lang w:val="en-US"/>
        </w:rPr>
        <w:t xml:space="preserve"> 7, no. 1 (31 Maret 2021): 111–26, https://doi.org/10.33751/palar.v7i1.3076.</w:t>
      </w:r>
      <w:r w:rsidRPr="0024403F">
        <w:rPr>
          <w:rFonts w:asciiTheme="majorHAnsi" w:hAnsiTheme="majorHAnsi" w:cstheme="majorHAnsi"/>
          <w:sz w:val="18"/>
          <w:szCs w:val="18"/>
        </w:rPr>
        <w:fldChar w:fldCharType="end"/>
      </w:r>
    </w:p>
  </w:footnote>
  <w:footnote w:id="12">
    <w:p w14:paraId="5249DAC2" w14:textId="69D9AD09"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{"citationID":"AiHpdoeC","properties":{"formattedCitation":"Ridwan Ridwan, \\uc0\\u8220{}Eksistensi dan Urgensi Peraturan Menteri dalam Penyelenggaraan Pemerintahan Sistem Presidensial,\\uc0\\u8221{} {\\i{}Jurnal Konstitusi} 18, no. 4 (17 Februari 2022): 828\\uc0\\u8211{}45, https://doi.org/10.31078/jk1845.","plainCitation":"Ridwan Ridwan, “Eksistensi dan Urgensi Peraturan Menteri dalam Penyelenggaraan Pemerintahan Sistem Presidensial,” Jurnal Konstitusi 18, no. 4 (17 Februari 2022): 828–45, https://doi.org/10.31078/jk1845.","noteIndex":12},"citationItems":[{"id":595,"uris":["http://zotero.org/users/5443588/items/UBVMFZNW"],"itemData":{"id":595,"type":"article-journal","abstract":"Tujuan penelitian ini untuk menganalisis keberadaan Peraturan Menteri dalam penyelenggaraan urusan pemerintahan. Penelitian ini merupakan penelitian normatif, dengan pendekatan undang-undang dan pendekatan konsep. Hasil penelitian ini menunjukan bahwa dalam sistem presidensial, kedudukan Menteri adalah sebagai pembantu Presiden, sehingga tidak dapat diberikan atribusi dari undang-undang untuk membuat Peraturan Menteri. Peraturan Menteri itu masih diperlukan dalam penyelenggaraan urusan pemerintahan, khususnya sebagai peraturan pelaksanaan dari Peraturan Pemerintah (PP) atau Peraturan Presiden (Perpres) untuk mengatur dan mengurus secara operasional bidang-bidang tertentu pada masing-masing kementerian. Bidang-bidang pemerintahan yang bersifat spesifik, tidak proporsional diatur dengan Perpres, apalagi dengan PP, karena PP itu memiliki makna khusus khusus sebagai peraturan pelaksanaan dari suatu undang-undang.","container-title":"Jurnal Konstitusi","DOI":"10.31078/jk1845","ISSN":"2548-1657","issue":"4","language":"id","license":"Copyright (c) 2022 Jurnal Konstitusi","note":"number: 4","page":"828-845","source":"jurnalkonstitusi.mkri.id","title":"Eksistensi dan Urgensi Peraturan Menteri dalam Penyelenggaraan Pemerintahan Sistem Presidensial","volume":"18","author":[{"family":"Ridwan","given":"Ridwan"}],"issued":{"date-parts":[["2022",2,17]]}}}],"schema":"https://github.com/citation-style-language/schema/raw/master/csl-citation.json"}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Ridwan Ridwan, “Eksistensi dan Urgensi Peraturan Menteri dalam Penyelenggaraan Pemerintahan Sistem Presidensial,” </w:t>
      </w:r>
      <w:r w:rsidR="00906279" w:rsidRPr="0024403F">
        <w:rPr>
          <w:rFonts w:asciiTheme="majorHAnsi" w:hAnsiTheme="majorHAnsi" w:cstheme="majorHAnsi"/>
          <w:i/>
          <w:iCs/>
          <w:sz w:val="18"/>
          <w:szCs w:val="18"/>
          <w:lang w:val="en-US"/>
        </w:rPr>
        <w:t>Jurnal Konstitusi</w:t>
      </w:r>
      <w:r w:rsidR="00906279" w:rsidRPr="0024403F">
        <w:rPr>
          <w:rFonts w:asciiTheme="majorHAnsi" w:hAnsiTheme="majorHAnsi" w:cstheme="majorHAnsi"/>
          <w:sz w:val="18"/>
          <w:szCs w:val="18"/>
          <w:lang w:val="en-US"/>
        </w:rPr>
        <w:t xml:space="preserve"> 18, no. 4 (17 Februari 2022): 828–45, https://doi.org/10.31078/jk1845.</w:t>
      </w:r>
      <w:r w:rsidRPr="0024403F">
        <w:rPr>
          <w:rFonts w:asciiTheme="majorHAnsi" w:hAnsiTheme="majorHAnsi" w:cstheme="majorHAnsi"/>
          <w:sz w:val="18"/>
          <w:szCs w:val="18"/>
        </w:rPr>
        <w:fldChar w:fldCharType="end"/>
      </w:r>
    </w:p>
  </w:footnote>
  <w:footnote w:id="13">
    <w:p w14:paraId="765A2C40" w14:textId="156CBFF5" w:rsidR="00BD0A5E" w:rsidRPr="0024403F" w:rsidRDefault="00BD0A5E"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{"citationID":"4hRK9uCB","properties":{"formattedCitation":"I. Nyoman Prabhu Buana Rumiarta, \\uc0\\u8220{}Kedudukan Peraturan Menteri pada Konstitusi,\\uc0\\u8221{} {\\i{}Kerta Dyatmika} 12, no. 2 (6 September 2015), https://doi.org/10.46650/kd.12.2.373.%p.","plainCitation":"I. Nyoman Prabhu Buana Rumiarta, “Kedudukan Peraturan Menteri pada Konstitusi,” Kerta Dyatmika 12, no. 2 (6 September 2015), https://doi.org/10.46650/kd.12.2.373.%p.","noteIndex":13},"citationItems":[{"id":594,"uris":["http://zotero.org/users/5443588/items/ZNXUM3A7"],"itemData":{"id":594,"type":"article-journal","abstract":"ABSTRACTBased on Article 7 paragraph (1) of Act No. 12 year 2011, states that the type and hierarchy of legislation consists of the Constitution of the Republic of Indonesia year 1945, the People's Consultative Assembly Decree, Laws/Government Regulation in Lieu of Law laws, government regulations, the Presidential Decree, and the Provincial Regulation. Besides laws that have been set out in Article 7 paragraph (1) is, Act No. 12 year 2011 also recognizes other legislation, one regulation. Position regulation established after the enactment of Act No. 12 Year 2011, both established on the basis of the order of legislation that is higher or formed on the basis of authority in the field of government affairs particular that of the minister, qualified as legislation.Â Keywords: Position and Authority, Regulation Legislation, Regulation of the Minister.Â","container-title":"Kerta Dyatmika","DOI":"10.46650/kd.12.2.373.%p","ISSN":"2722-9009","issue":"2","language":"in","license":"Copyright (c) 2017 Krettha Dyatmika","note":"number: 2","source":"ejournal.undwi.ac.id","title":"Kedudukan Peraturan Menteri pada Konstitusi","URL":"http://ejournal.undwi.ac.id/index.php/kertadyatmika/article/view/373","volume":"12","author":[{"family":"Rumiarta","given":"I. Nyoman Prabhu Buana"}],"accessed":{"date-parts":[["2022",4,23]]},"issued":{"date-parts":[["2015",9,6]]}}}],"schema":"https://github.com/citation-style-language/schema/raw/master/csl-citation.json"}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I. Nyoman Prabhu Buana Rumiarta, “Kedudukan Peraturan Menteri pada Konstitusi,” </w:t>
      </w:r>
      <w:r w:rsidR="00906279" w:rsidRPr="0024403F">
        <w:rPr>
          <w:rFonts w:asciiTheme="majorHAnsi" w:hAnsiTheme="majorHAnsi" w:cstheme="majorHAnsi"/>
          <w:i/>
          <w:iCs/>
          <w:sz w:val="18"/>
          <w:szCs w:val="18"/>
          <w:lang w:val="en-US"/>
        </w:rPr>
        <w:t>Kerta Dyatmika</w:t>
      </w:r>
      <w:r w:rsidR="00906279" w:rsidRPr="0024403F">
        <w:rPr>
          <w:rFonts w:asciiTheme="majorHAnsi" w:hAnsiTheme="majorHAnsi" w:cstheme="majorHAnsi"/>
          <w:sz w:val="18"/>
          <w:szCs w:val="18"/>
          <w:lang w:val="en-US"/>
        </w:rPr>
        <w:t xml:space="preserve"> 12, no. 2 (6 September 2015), https://doi.org/10.46650/kd.12.2.373.%p.</w:t>
      </w:r>
      <w:r w:rsidRPr="0024403F">
        <w:rPr>
          <w:rFonts w:asciiTheme="majorHAnsi" w:hAnsiTheme="majorHAnsi" w:cstheme="majorHAnsi"/>
          <w:sz w:val="18"/>
          <w:szCs w:val="18"/>
        </w:rPr>
        <w:fldChar w:fldCharType="end"/>
      </w:r>
    </w:p>
  </w:footnote>
  <w:footnote w:id="14">
    <w:p w14:paraId="65E278DB" w14:textId="329473D6" w:rsidR="007F7FAF" w:rsidRPr="0024403F" w:rsidRDefault="007F7FAF"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fldLock="1"/>
      </w:r>
      <w:r w:rsidRPr="0024403F">
        <w:rPr>
          <w:rFonts w:asciiTheme="majorHAnsi" w:hAnsiTheme="majorHAnsi" w:cstheme="majorHAnsi"/>
          <w:sz w:val="18"/>
          <w:szCs w:val="18"/>
        </w:rPr>
        <w:instrText>ADDIN CSL_CITATION {"citationItems":[{"id":"ITEM-1","itemData":{"author":[{"dropping-particle":"","family":"Irwansyah","given":"","non-dropping-particle":"","parse-names":false,"suffix":""}],"edition":"1","editor":[{"dropping-particle":"","family":"Ahsan Yunus","given":"","non-dropping-particle":"","parse-names":false,"suffix":""}],"id":"ITEM-1","issued":{"date-parts":[["2020","7","23"]]},"number-of-pages":"67-68","publisher":"Mitra Buana Media","publisher-place":"Yogyakarta","title":"Penelitian Hukum: Pilihan Metode &amp; Praktik Penulisan Artikel","type":"book","volume":"1"},"uris":["http://www.mendeley.com/documents/?uuid=a878428a-ae24-379f-8575-dc45360c7d75"]}],"mendeley":{"formattedCitation":"Irwansyah, &lt;i&gt;Penelitian Hukum: Pilihan Metode &amp; Praktik Penulisan Artikel&lt;/i&gt;, ed. Ahsan Yunus, 1st ed., vol. 1 (Yogyakarta: Mitra Buana Media, 2020).","plainTextFormattedCitation":"Irwansyah, Penelitian Hukum: Pilihan Metode &amp; Praktik Penulisan Artikel, ed. Ahsan Yunus, 1st ed., vol. 1 (Yogyakarta: Mitra Buana Media, 2020)."},"properties":{"noteIndex":1},"schema":"https://github.com/citation-style-language/schema/raw/master/csl-citation.json"}</w:instrText>
      </w:r>
      <w:r w:rsidRPr="0024403F">
        <w:rPr>
          <w:rFonts w:asciiTheme="majorHAnsi" w:hAnsiTheme="majorHAnsi" w:cstheme="majorHAnsi"/>
          <w:sz w:val="18"/>
          <w:szCs w:val="18"/>
        </w:rPr>
        <w:fldChar w:fldCharType="separate"/>
      </w:r>
      <w:r w:rsidRPr="0024403F">
        <w:rPr>
          <w:rFonts w:asciiTheme="majorHAnsi" w:hAnsiTheme="majorHAnsi" w:cstheme="majorHAnsi"/>
          <w:noProof/>
          <w:sz w:val="18"/>
          <w:szCs w:val="18"/>
        </w:rPr>
        <w:t xml:space="preserve">Irwansyah, </w:t>
      </w:r>
      <w:r w:rsidRPr="0024403F">
        <w:rPr>
          <w:rFonts w:asciiTheme="majorHAnsi" w:hAnsiTheme="majorHAnsi" w:cstheme="majorHAnsi"/>
          <w:i/>
          <w:noProof/>
          <w:sz w:val="18"/>
          <w:szCs w:val="18"/>
        </w:rPr>
        <w:t>Penelitian Hukum: Pilihan Metode &amp; Praktik Penulisan Artikel</w:t>
      </w:r>
      <w:r w:rsidRPr="0024403F">
        <w:rPr>
          <w:rFonts w:asciiTheme="majorHAnsi" w:hAnsiTheme="majorHAnsi" w:cstheme="majorHAnsi"/>
          <w:noProof/>
          <w:sz w:val="18"/>
          <w:szCs w:val="18"/>
        </w:rPr>
        <w:t>, ed. Ahsan Yunus, 1st ed., vol. 1 (Yogyakarta: Mitra Buana Media, 2020).</w:t>
      </w:r>
      <w:r w:rsidRPr="0024403F">
        <w:rPr>
          <w:rFonts w:asciiTheme="majorHAnsi" w:hAnsiTheme="majorHAnsi" w:cstheme="majorHAnsi"/>
          <w:sz w:val="18"/>
          <w:szCs w:val="18"/>
        </w:rPr>
        <w:fldChar w:fldCharType="end"/>
      </w:r>
    </w:p>
  </w:footnote>
  <w:footnote w:id="15">
    <w:p w14:paraId="15844205" w14:textId="70494C53" w:rsidR="004B6249" w:rsidRPr="0024403F" w:rsidRDefault="00262F8D" w:rsidP="00CE0A71">
      <w:pPr>
        <w:pStyle w:val="FootnoteText"/>
        <w:ind w:firstLine="567"/>
        <w:jc w:val="both"/>
        <w:rPr>
          <w:rFonts w:asciiTheme="majorHAnsi" w:hAnsiTheme="majorHAnsi" w:cstheme="majorHAnsi"/>
          <w:sz w:val="18"/>
          <w:szCs w:val="18"/>
          <w:lang w:val="en-US"/>
        </w:rPr>
      </w:pPr>
      <w:r w:rsidRPr="0024403F">
        <w:rPr>
          <w:rFonts w:asciiTheme="majorHAnsi" w:hAnsiTheme="majorHAnsi" w:cstheme="majorHAnsi"/>
          <w:sz w:val="18"/>
          <w:szCs w:val="18"/>
        </w:rPr>
        <w:tab/>
      </w:r>
      <w:r w:rsidR="004B6249" w:rsidRPr="0024403F">
        <w:rPr>
          <w:rStyle w:val="FootnoteReference"/>
          <w:rFonts w:asciiTheme="majorHAnsi" w:hAnsiTheme="majorHAnsi" w:cstheme="majorHAnsi"/>
          <w:sz w:val="18"/>
          <w:szCs w:val="18"/>
        </w:rPr>
        <w:footnoteRef/>
      </w:r>
      <w:r w:rsidR="004B6249" w:rsidRPr="0024403F">
        <w:rPr>
          <w:rFonts w:asciiTheme="majorHAnsi" w:hAnsiTheme="majorHAnsi" w:cstheme="majorHAnsi"/>
          <w:sz w:val="18"/>
          <w:szCs w:val="18"/>
        </w:rPr>
        <w:t xml:space="preserve"> </w:t>
      </w:r>
      <w:r w:rsidR="004B6249"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{"citationID":"J3wQKrSm","properties":{"formattedCitation":"Johnny Ibrahim, {\\i{}Teori dan Metodologi Penelitian Hukum Normatif}, ke-II (Malang: Bayu Media, 2006), 295.","plainCitation":"Johnny Ibrahim, Teori dan Metodologi Penelitian Hukum Normatif, ke-II (Malang: Bayu Media, 2006), 295.","noteIndex":14},"citationItems":[{"id":646,"uris":["http://zotero.org/users/5443588/items/2XBCCFJA"],"itemData":{"id":646,"type":"book","collection-title":"ke-II","event-place":"Malang","publisher":"Bayu Media","publisher-place":"Malang","title":"Teori dan Metodologi Penelitian Hukum Normatif","author":[{"family":"","given":"Johnny Ibrahim,"}],"issued":{"date-parts":[["2006"]]}},"locator":"295"}],"schema":"https://github.com/citation-style-language/schema/raw/master/csl-citation.json"} </w:instrText>
      </w:r>
      <w:r w:rsidR="004B6249"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Johnny Ibrahim, </w:t>
      </w:r>
      <w:r w:rsidR="00906279" w:rsidRPr="0024403F">
        <w:rPr>
          <w:rFonts w:asciiTheme="majorHAnsi" w:hAnsiTheme="majorHAnsi" w:cstheme="majorHAnsi"/>
          <w:i/>
          <w:iCs/>
          <w:sz w:val="18"/>
          <w:szCs w:val="18"/>
          <w:lang w:val="en-US"/>
        </w:rPr>
        <w:t>Teori dan Metodologi Penelitian Hukum Normatif</w:t>
      </w:r>
      <w:r w:rsidR="00906279" w:rsidRPr="0024403F">
        <w:rPr>
          <w:rFonts w:asciiTheme="majorHAnsi" w:hAnsiTheme="majorHAnsi" w:cstheme="majorHAnsi"/>
          <w:sz w:val="18"/>
          <w:szCs w:val="18"/>
          <w:lang w:val="en-US"/>
        </w:rPr>
        <w:t>, ke-II (Malang: Bayu Media, 2006), 295.</w:t>
      </w:r>
      <w:r w:rsidR="004B6249" w:rsidRPr="0024403F">
        <w:rPr>
          <w:rFonts w:asciiTheme="majorHAnsi" w:hAnsiTheme="majorHAnsi" w:cstheme="majorHAnsi"/>
          <w:sz w:val="18"/>
          <w:szCs w:val="18"/>
        </w:rPr>
        <w:fldChar w:fldCharType="end"/>
      </w:r>
    </w:p>
  </w:footnote>
  <w:footnote w:id="16">
    <w:p w14:paraId="0DE56401" w14:textId="01690261" w:rsidR="004B6249" w:rsidRPr="0024403F" w:rsidRDefault="004B6249"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{"citationID":"OJGzDsGx","properties":{"formattedCitation":"M. Syamsudin, {\\i{}Operasionalisasi Penelitian Hukum} (Jakarta: Raja Grafindo Persada, 2007), 58.","plainCitation":"M. Syamsudin, Operasionalisasi Penelitian Hukum (Jakarta: Raja Grafindo Persada, 2007), 58.","noteIndex":15},"citationItems":[{"id":645,"uris":["http://zotero.org/users/5443588/items/Z89DQIGT"],"itemData":{"id":645,"type":"book","event-place":"Jakarta","publisher":"Raja Grafindo Persada","publisher-place":"Jakarta","title":"Operasionalisasi Penelitian Hukum","author":[{"family":"","given":"M. Syamsudin"}],"issued":{"date-parts":[["2007"]]}},"locator":"58"}],"schema":"https://github.com/citation-style-language/schema/raw/master/csl-citation.json"}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M. Syamsudin, </w:t>
      </w:r>
      <w:r w:rsidR="00906279" w:rsidRPr="0024403F">
        <w:rPr>
          <w:rFonts w:asciiTheme="majorHAnsi" w:hAnsiTheme="majorHAnsi" w:cstheme="majorHAnsi"/>
          <w:i/>
          <w:iCs/>
          <w:sz w:val="18"/>
          <w:szCs w:val="18"/>
          <w:lang w:val="en-US"/>
        </w:rPr>
        <w:t>Operasionalisasi Penelitian Hukum</w:t>
      </w:r>
      <w:r w:rsidR="00906279" w:rsidRPr="0024403F">
        <w:rPr>
          <w:rFonts w:asciiTheme="majorHAnsi" w:hAnsiTheme="majorHAnsi" w:cstheme="majorHAnsi"/>
          <w:sz w:val="18"/>
          <w:szCs w:val="18"/>
          <w:lang w:val="en-US"/>
        </w:rPr>
        <w:t xml:space="preserve"> (Jakarta: Raja Grafindo Persada, 2007), 58.</w:t>
      </w:r>
      <w:r w:rsidRPr="0024403F">
        <w:rPr>
          <w:rFonts w:asciiTheme="majorHAnsi" w:hAnsiTheme="majorHAnsi" w:cstheme="majorHAnsi"/>
          <w:sz w:val="18"/>
          <w:szCs w:val="18"/>
        </w:rPr>
        <w:fldChar w:fldCharType="end"/>
      </w:r>
    </w:p>
  </w:footnote>
  <w:footnote w:id="17">
    <w:p w14:paraId="343A37F5" w14:textId="7D2319E5" w:rsidR="004B6249" w:rsidRPr="0024403F" w:rsidRDefault="004B6249"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{"citationID":"PhQzxEU3","properties":{"formattedCitation":"Peter Mahmud Marzuki, {\\i{}Penelitian Hukum, (edisi revisi} (Jakarta: Prenadamedia Group, 2015), 177\\uc0\\u8211{}78.","plainCitation":"Peter Mahmud Marzuki, Penelitian Hukum, (edisi revisi (Jakarta: Prenadamedia Group, 2015), 177–78.","noteIndex":16},"citationItems":[{"id":302,"uris":["http://zotero.org/users/5443588/items/IYH2M2JT"],"itemData":{"id":302,"type":"book","event-place":"Jakarta","publisher":"Prenadamedia Group","publisher-place":"Jakarta","title":"Penelitian Hukum, (edisi revisi","author":[{"family":"","given":"Peter Mahmud Marzuki"}],"issued":{"date-parts":[["2015"]]}},"locator":"177-178"}],"schema":"https://github.com/citation-style-language/schema/raw/master/csl-citation.json"}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Peter Mahmud Marzuki, </w:t>
      </w:r>
      <w:r w:rsidR="00906279" w:rsidRPr="0024403F">
        <w:rPr>
          <w:rFonts w:asciiTheme="majorHAnsi" w:hAnsiTheme="majorHAnsi" w:cstheme="majorHAnsi"/>
          <w:i/>
          <w:iCs/>
          <w:sz w:val="18"/>
          <w:szCs w:val="18"/>
          <w:lang w:val="en-US"/>
        </w:rPr>
        <w:t>Penelitian Hukum, (edisi revisi</w:t>
      </w:r>
      <w:r w:rsidR="00906279" w:rsidRPr="0024403F">
        <w:rPr>
          <w:rFonts w:asciiTheme="majorHAnsi" w:hAnsiTheme="majorHAnsi" w:cstheme="majorHAnsi"/>
          <w:sz w:val="18"/>
          <w:szCs w:val="18"/>
          <w:lang w:val="en-US"/>
        </w:rPr>
        <w:t xml:space="preserve"> (Jakarta: Prenadamedia Group, 2015), 177–78.</w:t>
      </w:r>
      <w:r w:rsidRPr="0024403F">
        <w:rPr>
          <w:rFonts w:asciiTheme="majorHAnsi" w:hAnsiTheme="majorHAnsi" w:cstheme="majorHAnsi"/>
          <w:sz w:val="18"/>
          <w:szCs w:val="18"/>
        </w:rPr>
        <w:fldChar w:fldCharType="end"/>
      </w:r>
    </w:p>
  </w:footnote>
  <w:footnote w:id="18">
    <w:p w14:paraId="2584841F" w14:textId="0DD78450"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{"citationID":"SxcI39A9","properties":{"formattedCitation":"Bayu Dwi Anggono, \\uc0\\u8220{}Tertib Jenis, Hierarki, dan Materi Muatan Peraturan Perundang-Undangan: Permasalahan dan Solusinya,\\uc0\\u8221{} {\\i{}Masalah-Masalah Hukum} 47, no. 1 (30 Januari 2018): 2, https://doi.org/10.14710/mmh.47.1.2018.1-9.","plainCitation":"Bayu Dwi Anggono, “Tertib Jenis, Hierarki, dan Materi Muatan Peraturan Perundang-Undangan: Permasalahan dan Solusinya,” Masalah-Masalah Hukum 47, no. 1 (30 Januari 2018): 2, https://doi.org/10.14710/mmh.47.1.2018.1-9.","noteIndex":17},"citationItems":[{"id":583,"uris":["http://zotero.org/users/5443588/items/QPW2KK82"],"itemData":{"id":583,"type":"article-journal","abstract":"Terdapat 2 tertib peraturan perundang-undangan yaitu tertib dasar peraturan perundangundangan dan tertib pembentukan peraturan perundang-undangan. Praktik sistem perundangundangan Indonesia pasca diberlakukannya UU 12/2011 menunjukkan permasalahan pada tertib dasar perundang-undangan yaitu kurang terkontrolnya jenis peraturan yang dapat digolongkan sebagai peraturan perundang-undangan, tidak semua jenis peraturan perundang-undangan jelas letaknya dalam hierarki dan terlalu luasnya materi muatan serta kesamaan materi muatan antar peraturan perundang-undangan. Upaya mewujudkan tertib peraturan perundang-undangan dapat dilakukan dengan mengeluarkan jenis peraturan lembaga yang tidak berkategori sebagai peraturan perundang-undangan, meletakkan setiap jenis peraturan perundang-undangan dalam hierarki, dan pengetatan suatu materi muatan yang dapat diatur dengan peraturan perundangundangan, serta melakukan pembedaan secara jelas materi muatan tiap jenis peraturan perundang-undangan.","container-title":"Masalah-Masalah Hukum","DOI":"10.14710/mmh.47.1.2018.1-9","ISSN":"2527-4716","issue":"1","language":"id","license":"The Authors submitting a manuscript do so on the understanding that if accepted for publication, copyright of the article shall be assigned to Masalah Masalah Hukum journal (MMH) and Faculty of Law, Universitas Diponegoro as publisher of the journal. Copyright encompasses rights to reproduce and deliver the article in all form and media, including reprints, photographs, microfilms, and any other similar reproductions, as well as translations.   MMH journal and Faculty of Law, Universitas Diponegoro and the Editors make every effort to ensure that no wrong or misleading data, opinions or statements be published in the journal. In any way, the contents of the articles and advertisements published in MMH journal are the sole responsibility of their respective authors and advertisers.  We strongly encourage that manuscripts be submitted to online journal system in  http://ejournal.undip.ac.id/index.php/mmh/index . Authors are required to create an account and submit the manuscripts online. For submission inquiries, please follow the submission instructions in the website. If the author has any problems on the online submission, please contact Editorial Office at the following email:   jurnal.mmh@undip.ac.id   or   jurnal.mmh@gmail.com    Contributors are responsible for obtaining permission to reproduce any materials, including photographs and illustrations, for which they do not hold the copyright and for ensuring that the appropriate acknowledgments are included in the manuscript.","note":"number: 1","page":"1-9","source":"ejournal.undip.ac.id","title":"Tertib Jenis, Hierarki, dan Materi Muatan Peraturan Perundang-Undangan: Permasalahan dan Solusinya","title-short":"TERTIB JENIS, HIERARKI, DAN MATERI MUATAN PERATURAN PERUNDANG-UNDANGAN","volume":"47","author":[{"family":"Anggono","given":"Bayu Dwi"}],"issued":{"date-parts":[["2018",1,30]]}},"locator":"2"}],"schema":"https://github.com/citation-style-language/schema/raw/master/csl-citation.json"}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Bayu Dwi Anggono, “Tertib Jenis, Hierarki, dan Materi Muatan Peraturan Perundang-Undangan: Permasalahan dan Solusinya,” </w:t>
      </w:r>
      <w:r w:rsidR="00906279" w:rsidRPr="0024403F">
        <w:rPr>
          <w:rFonts w:asciiTheme="majorHAnsi" w:hAnsiTheme="majorHAnsi" w:cstheme="majorHAnsi"/>
          <w:i/>
          <w:iCs/>
          <w:sz w:val="18"/>
          <w:szCs w:val="18"/>
          <w:lang w:val="en-US"/>
        </w:rPr>
        <w:t>Masalah-Masalah Hukum</w:t>
      </w:r>
      <w:r w:rsidR="00906279" w:rsidRPr="0024403F">
        <w:rPr>
          <w:rFonts w:asciiTheme="majorHAnsi" w:hAnsiTheme="majorHAnsi" w:cstheme="majorHAnsi"/>
          <w:sz w:val="18"/>
          <w:szCs w:val="18"/>
          <w:lang w:val="en-US"/>
        </w:rPr>
        <w:t xml:space="preserve"> 47, no. 1 (30 Januari 2018): 2, https://doi.org/10.14710/mmh.47.1.2018.1-9.</w:t>
      </w:r>
      <w:r w:rsidRPr="0024403F">
        <w:rPr>
          <w:rFonts w:asciiTheme="majorHAnsi" w:hAnsiTheme="majorHAnsi" w:cstheme="majorHAnsi"/>
          <w:sz w:val="18"/>
          <w:szCs w:val="18"/>
        </w:rPr>
        <w:fldChar w:fldCharType="end"/>
      </w:r>
    </w:p>
  </w:footnote>
  <w:footnote w:id="19">
    <w:p w14:paraId="67CD62FD" w14:textId="012C1538"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{"citationID":"aVB8tr1E","properties":{"formattedCitation":"Ridwan, \\uc0\\u8220{}Eksistensi dan Urgensi Peraturan Menteri dalam Penyelenggaraan Pemerintahan Sistem Presidensial,\\uc0\\u8221{} 834.","plainCitation":"Ridwan, “Eksistensi dan Urgensi Peraturan Menteri dalam Penyelenggaraan Pemerintahan Sistem Presidensial,” 834.","noteIndex":18},"citationItems":[{"id":595,"uris":["http://zotero.org/users/5443588/items/UBVMFZNW"],"itemData":{"id":595,"type":"article-journal","abstract":"Tujuan penelitian ini untuk menganalisis keberadaan Peraturan Menteri dalam penyelenggaraan urusan pemerintahan. Penelitian ini merupakan penelitian normatif, dengan pendekatan undang-undang dan pendekatan konsep. Hasil penelitian ini menunjukan bahwa dalam sistem presidensial, kedudukan Menteri adalah sebagai pembantu Presiden, sehingga tidak dapat diberikan atribusi dari undang-undang untuk membuat Peraturan Menteri. Peraturan Menteri itu masih diperlukan dalam penyelenggaraan urusan pemerintahan, khususnya sebagai peraturan pelaksanaan dari Peraturan Pemerintah (PP) atau Peraturan Presiden (Perpres) untuk mengatur dan mengurus secara operasional bidang-bidang tertentu pada masing-masing kementerian. Bidang-bidang pemerintahan yang bersifat spesifik, tidak proporsional diatur dengan Perpres, apalagi dengan PP, karena PP itu memiliki makna khusus khusus sebagai peraturan pelaksanaan dari suatu undang-undang.","container-title":"Jurnal Konstitusi","DOI":"10.31078/jk1845","ISSN":"2548-1657","issue":"4","language":"id","license":"Copyright (c) 2022 Jurnal Konstitusi","note":"number: 4","page":"828-845","source":"jurnalkonstitusi.mkri.id","title":"Eksistensi dan Urgensi Peraturan Menteri dalam Penyelenggaraan Pemerintahan Sistem Presidensial","volume":"18","author":[{"family":"Ridwan","given":"Ridwan"}],"issued":{"date-parts":[["2022",2,17]]}},"locator":"834"}],"schema":"https://github.com/citation-style-language/schema/raw/master/csl-citation.json"}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Ridwan, “Eksistensi dan Urgensi Peraturan Menteri dalam Penyelenggaraan Pemerintahan Sistem Presidensial,” 834.</w:t>
      </w:r>
      <w:r w:rsidRPr="0024403F">
        <w:rPr>
          <w:rFonts w:asciiTheme="majorHAnsi" w:hAnsiTheme="majorHAnsi" w:cstheme="majorHAnsi"/>
          <w:sz w:val="18"/>
          <w:szCs w:val="18"/>
        </w:rPr>
        <w:fldChar w:fldCharType="end"/>
      </w:r>
    </w:p>
  </w:footnote>
  <w:footnote w:id="20">
    <w:p w14:paraId="6D0B0244" w14:textId="6AA01B0C" w:rsidR="00856BF1" w:rsidRPr="0024403F" w:rsidRDefault="00856BF1"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{"citationID":"j9DF2HqX","properties":{"formattedCitation":"Li Huang, \\uc0\\u8220{}From Benign Unconstitutionality to Delegated Legislation: Analysis on the Ways for Legal Reform of China Rural Collective Construction Land Circulation,\\uc0\\u8221{} {\\i{}Habitat International} 74 (1 April 2018): 36\\uc0\\u8211{}47, https://doi.org/10.1016/j.habitatint.2018.02.008.","plainCitation":"Li Huang, “From Benign Unconstitutionality to Delegated Legislation: Analysis on the Ways for Legal Reform of China Rural Collective Construction Land Circulation,” Habitat International 74 (1 April 2018): 36–47, https://doi.org/10.1016/j.habitatint.2018.02.008.","noteIndex":19},"citationItems":[{"id":1400,"uris":["http://zotero.org/users/5443588/items/TTJPWJGR"],"itemData":{"id":1400,"type":"article-journal","abstract":"During the construction of China's society ruled by law, in order to cope with the long-lasting conflict between legal norm and social reality, two different reform models “benign unconstitutionality” and “delegated legislation” have appeared successively. In virtue of the transition process of reform model, this paper relatively systematically reviews research documents and combs through governmental documents aiming at the problem of legal restrictions faced by right circulation of collective construction land usage. The basic research conclusion of this paper proves that, the strict restriction of existing legal norms on collective construction land circulation has induced invisible circulation of collective construction land. Facing widely existing problem of invisible circulation, some local governments have launched the “co-equal market” model to break through the restriction of existing law by means of benign unconstitutionality; under the “delegated legislation” model, “co-equal market” model has been promoted in pilot areas of reform. In the section of collective construction land usage right transfer, “same right for same land” with state-owned construction land has been preliminarily realized, but in the sections of usage right leading, transfer and mortgage, etc., there is still the problem of lack of follow-up management system.","container-title":"Habitat International","DOI":"10.1016/j.habitatint.2018.02.008","ISSN":"0197-3975","journalAbbreviation":"Habitat International","language":"en","page":"36-47","source":"ScienceDirect","title":"From benign unconstitutionality to delegated legislation: Analysis on the ways for legal reform of China rural collective construction land circulation","title-short":"From benign unconstitutionality to delegated legislation","volume":"74","author":[{"family":"Huang","given":"Li"}],"issued":{"date-parts":[["2018",4,1]]}}}],"schema":"https://github.com/citation-style-language/schema/raw/master/csl-citation.json"}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Li Huang, “From Benign Unconstitutionality to Delegated Legislation: Analysis on the Ways for Legal Reform of China Rural Collective Construction Land Circulation,” </w:t>
      </w:r>
      <w:r w:rsidRPr="0024403F">
        <w:rPr>
          <w:rFonts w:asciiTheme="majorHAnsi" w:hAnsiTheme="majorHAnsi" w:cstheme="majorHAnsi"/>
          <w:i/>
          <w:iCs/>
          <w:sz w:val="18"/>
          <w:szCs w:val="18"/>
          <w:lang w:val="en-US"/>
        </w:rPr>
        <w:t>Habitat International</w:t>
      </w:r>
      <w:r w:rsidRPr="0024403F">
        <w:rPr>
          <w:rFonts w:asciiTheme="majorHAnsi" w:hAnsiTheme="majorHAnsi" w:cstheme="majorHAnsi"/>
          <w:sz w:val="18"/>
          <w:szCs w:val="18"/>
          <w:lang w:val="en-US"/>
        </w:rPr>
        <w:t xml:space="preserve"> 74 (1 April 2018): 36–47, https://doi.org/10.1016/j.habitatint.2018.02.008.</w:t>
      </w:r>
      <w:r w:rsidRPr="0024403F">
        <w:rPr>
          <w:rFonts w:asciiTheme="majorHAnsi" w:hAnsiTheme="majorHAnsi" w:cstheme="majorHAnsi"/>
          <w:sz w:val="18"/>
          <w:szCs w:val="18"/>
        </w:rPr>
        <w:fldChar w:fldCharType="end"/>
      </w:r>
    </w:p>
  </w:footnote>
  <w:footnote w:id="21">
    <w:p w14:paraId="4D5B79EC" w14:textId="41F8866B"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{"citationID":"UTN0crKV","properties":{"formattedCitation":"Ridwan HR, {\\i{}Hukum Administrasi Negara} (Jakarta: Rajawali Pers, 2011), 113.","plainCitation":"Ridwan HR, Hukum Administrasi Negara (Jakarta: Rajawali Pers, 2011), 113.","noteIndex":20},"citationItems":[{"id":593,"uris":["http://zotero.org/users/5443588/items/8L7BV2I5"],"itemData":{"id":593,"type":"book","event-place":"Jakarta","publisher":"Rajawali Pers","publisher-place":"Jakarta","title":"Hukum Administrasi Negara","author":[{"family":"","given":"Ridwan HR"}],"issued":{"date-parts":[["2011"]]}},"locator":"113"}],"schema":"https://github.com/citation-style-language/schema/raw/master/csl-citation.json"}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Ridwan HR, </w:t>
      </w:r>
      <w:r w:rsidR="00906279" w:rsidRPr="0024403F">
        <w:rPr>
          <w:rFonts w:asciiTheme="majorHAnsi" w:hAnsiTheme="majorHAnsi" w:cstheme="majorHAnsi"/>
          <w:i/>
          <w:iCs/>
          <w:sz w:val="18"/>
          <w:szCs w:val="18"/>
          <w:lang w:val="en-US"/>
        </w:rPr>
        <w:t>Hukum Administrasi Negara</w:t>
      </w:r>
      <w:r w:rsidR="00906279" w:rsidRPr="0024403F">
        <w:rPr>
          <w:rFonts w:asciiTheme="majorHAnsi" w:hAnsiTheme="majorHAnsi" w:cstheme="majorHAnsi"/>
          <w:sz w:val="18"/>
          <w:szCs w:val="18"/>
          <w:lang w:val="en-US"/>
        </w:rPr>
        <w:t xml:space="preserve"> (Jakarta: Rajawali Pers, 2011), 113.</w:t>
      </w:r>
      <w:r w:rsidRPr="0024403F">
        <w:rPr>
          <w:rFonts w:asciiTheme="majorHAnsi" w:hAnsiTheme="majorHAnsi" w:cstheme="majorHAnsi"/>
          <w:sz w:val="18"/>
          <w:szCs w:val="18"/>
        </w:rPr>
        <w:fldChar w:fldCharType="end"/>
      </w:r>
    </w:p>
  </w:footnote>
  <w:footnote w:id="22">
    <w:p w14:paraId="49612FCC" w14:textId="48A72B7C"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{"citationID":"lvxh4iRu","properties":{"formattedCitation":"Ridwan, \\uc0\\u8220{}Eksistensi dan Urgensi Peraturan Menteri dalam Penyelenggaraan Pemerintahan Sistem Presidensial,\\uc0\\u8221{} 836.","plainCitation":"Ridwan, “Eksistensi dan Urgensi Peraturan Menteri dalam Penyelenggaraan Pemerintahan Sistem Presidensial,” 836.","noteIndex":21},"citationItems":[{"id":595,"uris":["http://zotero.org/users/5443588/items/UBVMFZNW"],"itemData":{"id":595,"type":"article-journal","abstract":"Tujuan penelitian ini untuk menganalisis keberadaan Peraturan Menteri dalam penyelenggaraan urusan pemerintahan. Penelitian ini merupakan penelitian normatif, dengan pendekatan undang-undang dan pendekatan konsep. Hasil penelitian ini menunjukan bahwa dalam sistem presidensial, kedudukan Menteri adalah sebagai pembantu Presiden, sehingga tidak dapat diberikan atribusi dari undang-undang untuk membuat Peraturan Menteri. Peraturan Menteri itu masih diperlukan dalam penyelenggaraan urusan pemerintahan, khususnya sebagai peraturan pelaksanaan dari Peraturan Pemerintah (PP) atau Peraturan Presiden (Perpres) untuk mengatur dan mengurus secara operasional bidang-bidang tertentu pada masing-masing kementerian. Bidang-bidang pemerintahan yang bersifat spesifik, tidak proporsional diatur dengan Perpres, apalagi dengan PP, karena PP itu memiliki makna khusus khusus sebagai peraturan pelaksanaan dari suatu undang-undang.","container-title":"Jurnal Konstitusi","DOI":"10.31078/jk1845","ISSN":"2548-1657","issue":"4","language":"id","license":"Copyright (c) 2022 Jurnal Konstitusi","note":"number: 4","page":"828-845","source":"jurnalkonstitusi.mkri.id","title":"Eksistensi dan Urgensi Peraturan Menteri dalam Penyelenggaraan Pemerintahan Sistem Presidensial","volume":"18","author":[{"family":"Ridwan","given":"Ridwan"}],"issued":{"date-parts":[["2022",2,17]]}},"locator":"836"}],"schema":"https://github.com/citation-style-language/schema/raw/master/csl-citation.json"}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Ridwan, “Eksistensi dan Urgensi Peraturan Menteri dalam Penyelenggaraan Pemerintahan Sistem Presidensial,” 836.</w:t>
      </w:r>
      <w:r w:rsidRPr="0024403F">
        <w:rPr>
          <w:rFonts w:asciiTheme="majorHAnsi" w:hAnsiTheme="majorHAnsi" w:cstheme="majorHAnsi"/>
          <w:sz w:val="18"/>
          <w:szCs w:val="18"/>
        </w:rPr>
        <w:fldChar w:fldCharType="end"/>
      </w:r>
    </w:p>
  </w:footnote>
  <w:footnote w:id="23">
    <w:p w14:paraId="30736F84" w14:textId="7AEA6B49"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{"citationID":"LIzT3M6Z","properties":{"formattedCitation":"Zaka Firma Aditya dan Muhammad Reza Winata, \\uc0\\u8220{}Rekonstruksi Hierarki Peraturan Perundang-Undangan Di Indonesia (Reconstruction Of The Hierarchy Of Legislation In Indonesia),\\uc0\\u8221{} {\\i{}Negara Hukum: Membangun Hukum Untuk Keadilan Dan Kesejahteraan} 9, no. 1 (1 Juni 2018): 95, https://doi.org/10.22212/jnh.v9i1.976.","plainCitation":"Zaka Firma Aditya dan Muhammad Reza Winata, “Rekonstruksi Hierarki Peraturan Perundang-Undangan Di Indonesia (Reconstruction Of The Hierarchy Of Legislation In Indonesia),” Negara Hukum: Membangun Hukum Untuk Keadilan Dan Kesejahteraan 9, no. 1 (1 Juni 2018): 95, https://doi.org/10.22212/jnh.v9i1.976.","noteIndex":22},"citationItems":[{"id":592,"uris":["http://zotero.org/users/5443588/items/I6LNNLUM"],"itemData":{"id":592,"type":"article-journal","abstract":"The hierarchy of legislation in Indonesia has been amended 4 (four) times, but still contains juridical issues. The most common problems are related to the overlapping of existing rules. Law Number 12 Year 2011 as the guidance of hierarchy of legislation which is considered to improve the probability in the previous law, was also experiencing the same problem. Some of the problems contained in Law 12/2011 are related to the reposition of the People's Consultative Assembly decree (MPR's decree), the unclear position of the ministerial regulations, the state organs regulations, and local regulations of village. Even, as well as the content of the presidential regulation that is considered to be the same as the government regulation. This paper will discuss about (1) the legal historis and legal policy of the hierarchy of legislation in Indonesia and its problems; (2) the reconstruction of the hierarchy of legislation in Indonesia. The results of this paper that the establishment of a hierarchy of legislation in Indonesia has each political law in accordance with the regime at the time. Each hierarchy has its own problems, although the original aim is to discipline and correct the ambiguity of the previous legislation. Thus, the reconstruction of the hierarchy of legislation is important to ensure consistency and harmony of norms at various levels of legislation. The reconstruction in question is to rearrange the hierarchy of legislation by distinguishing between the legislation in the central and regional levels. AbstrakHierarki peraturan perundang-undangan di Indonesia telah diubah sebanyak 4 (empat) kali, namun masih mengandung permasalahan-permasalahan yuridis di dalamnya. Permasalahan yang paling sering terjadi berkaitan dengan tumpang tindihnya aturan-aturan yang ada. UU No. 12 Tahun 2011 tentang Pembentukan Peraturan Perundang-undangan sebagai pedoman hierarki perundang-undangan yang dianggap dapat mengatasi masalah dalam undang-undang sebelumnya, namun juga mengalami masalah yang sama. Beberapa problematika yang ada dalam UU No. 12 Tahun 2011 berkaitan dengan dikembalikannya kedudukan ketetapan MPR, tidak tegasnya kedudukan peraturan menteri, kedudukan peraturan lembaga negara, dan peraturan desa, serta materi muatan peraturan presiden yang dianggap sama dengan peraturan pemerintah. Tulisan ini akan membahas mengenai (1) legal historis dan politik hukum hierarki peraturan perundang-undangan di Indonesia beserta permasalahan-permasalahnnya; dan (2) rekonstruksi hierarki peraturan perundang-undangan di Indonesia. Adapun hasil penulisan ini bahwa pembentukan hierarki peraturan perundang-undangan di Indonesia memiliki politik hukum masing-masing sesuai dengan rezim pemerintahan pada saat itu. Setiap hierarki memiliki problematikanya masing-masing, meskipun tujuan awalnya sama yaitu untuk menertibkan dan memperbaiki kerancuan dari peraturan sebelumnya, sehingga rekonstruksi hierarki peraturan perundang-undangan penting dilakukan agar menjamin konsistensi dan keselarasan norma-norma pada berbagai tingkatan peraturan perundang-undangan. Adapun rekonstruksi yang dimaksud adalah dengan menata kembali hierarki peraturan perundang-undangan dengan membedakannya antara peraturan perundang-undangan tingkat pusat dan tingkat daerah.","container-title":"Negara Hukum: Membangun Hukum untuk Keadilan dan Kesejahteraan","DOI":"10.22212/jnh.v9i1.976","ISSN":"2614-2813","issue":"1","language":"en","license":"Copyright (c) 2018 Negara Hukum","note":"number: 1","source":"jurnal.dpr.go.id","title":"Rekonstruksi Hierarki Peraturan Perundang-Undangan Di Indonesia (Reconstruction Of The Hierarchy Of Legislation In Indonesia)","URL":"https://jurnal.dpr.go.id/index.php/hukum/article/view/976","volume":"9","author":[{"family":"Aditya","given":"Zaka Firma"},{"family":"Winata","given":"Muhammad Reza"}],"accessed":{"date-parts":[["2022",4,24]]},"issued":{"date-parts":[["2018",6,1]]}},"locator":"95"}],"schema":"https://github.com/citation-style-language/schema/raw/master/csl-citation.json"}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Zaka Firma Aditya dan Muhammad Reza Winata, “Rekonstruksi Hierarki Peraturan Perundang-Undangan Di Indonesia (Reconstruction </w:t>
      </w:r>
      <w:r w:rsidR="00CE0A71" w:rsidRPr="0024403F">
        <w:rPr>
          <w:rFonts w:asciiTheme="majorHAnsi" w:hAnsiTheme="majorHAnsi" w:cstheme="majorHAnsi"/>
          <w:sz w:val="18"/>
          <w:szCs w:val="18"/>
          <w:lang w:val="en-US"/>
        </w:rPr>
        <w:t>of</w:t>
      </w:r>
      <w:r w:rsidR="00906279" w:rsidRPr="0024403F">
        <w:rPr>
          <w:rFonts w:asciiTheme="majorHAnsi" w:hAnsiTheme="majorHAnsi" w:cstheme="majorHAnsi"/>
          <w:sz w:val="18"/>
          <w:szCs w:val="18"/>
          <w:lang w:val="en-US"/>
        </w:rPr>
        <w:t xml:space="preserve"> The Hierarchy </w:t>
      </w:r>
      <w:r w:rsidR="00E518B6" w:rsidRPr="0024403F">
        <w:rPr>
          <w:rFonts w:asciiTheme="majorHAnsi" w:hAnsiTheme="majorHAnsi" w:cstheme="majorHAnsi"/>
          <w:sz w:val="18"/>
          <w:szCs w:val="18"/>
          <w:lang w:val="en-US"/>
        </w:rPr>
        <w:t>of</w:t>
      </w:r>
      <w:r w:rsidR="00906279" w:rsidRPr="0024403F">
        <w:rPr>
          <w:rFonts w:asciiTheme="majorHAnsi" w:hAnsiTheme="majorHAnsi" w:cstheme="majorHAnsi"/>
          <w:sz w:val="18"/>
          <w:szCs w:val="18"/>
          <w:lang w:val="en-US"/>
        </w:rPr>
        <w:t xml:space="preserve"> Legislation </w:t>
      </w:r>
      <w:r w:rsidR="00E518B6" w:rsidRPr="0024403F">
        <w:rPr>
          <w:rFonts w:asciiTheme="majorHAnsi" w:hAnsiTheme="majorHAnsi" w:cstheme="majorHAnsi"/>
          <w:sz w:val="18"/>
          <w:szCs w:val="18"/>
          <w:lang w:val="en-US"/>
        </w:rPr>
        <w:t>in</w:t>
      </w:r>
      <w:r w:rsidR="00906279" w:rsidRPr="0024403F">
        <w:rPr>
          <w:rFonts w:asciiTheme="majorHAnsi" w:hAnsiTheme="majorHAnsi" w:cstheme="majorHAnsi"/>
          <w:sz w:val="18"/>
          <w:szCs w:val="18"/>
          <w:lang w:val="en-US"/>
        </w:rPr>
        <w:t xml:space="preserve"> Indonesia),” </w:t>
      </w:r>
      <w:r w:rsidR="00906279" w:rsidRPr="0024403F">
        <w:rPr>
          <w:rFonts w:asciiTheme="majorHAnsi" w:hAnsiTheme="majorHAnsi" w:cstheme="majorHAnsi"/>
          <w:i/>
          <w:iCs/>
          <w:sz w:val="18"/>
          <w:szCs w:val="18"/>
          <w:lang w:val="en-US"/>
        </w:rPr>
        <w:t>Negara Hukum: Membangun Hukum Untuk Keadilan Dan Kesejahteraan</w:t>
      </w:r>
      <w:r w:rsidR="00906279" w:rsidRPr="0024403F">
        <w:rPr>
          <w:rFonts w:asciiTheme="majorHAnsi" w:hAnsiTheme="majorHAnsi" w:cstheme="majorHAnsi"/>
          <w:sz w:val="18"/>
          <w:szCs w:val="18"/>
          <w:lang w:val="en-US"/>
        </w:rPr>
        <w:t xml:space="preserve"> 9, no. 1 (1 Juni 2018): 95, https://doi.org/10.22212/jnh.v9i1.976.</w:t>
      </w:r>
      <w:r w:rsidRPr="0024403F">
        <w:rPr>
          <w:rFonts w:asciiTheme="majorHAnsi" w:hAnsiTheme="majorHAnsi" w:cstheme="majorHAnsi"/>
          <w:sz w:val="18"/>
          <w:szCs w:val="18"/>
        </w:rPr>
        <w:fldChar w:fldCharType="end"/>
      </w:r>
    </w:p>
  </w:footnote>
  <w:footnote w:id="24">
    <w:p w14:paraId="36130F65" w14:textId="2AFA3171" w:rsidR="005402D3" w:rsidRPr="0024403F" w:rsidRDefault="005402D3"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{"citationID":"jGhGujjJ","properties":{"formattedCitation":"Kainat Saif, \\uc0\\u8220{}Delegated Legislation: A Case Study of Pakistan,\\uc0\\u8221{} SSRN Scholarly Paper (Rochester, NY, 15 Mei 2021), https://doi.org/10.2139/ssrn.3847989; Kenny Chng, \\uc0\\u8220{}Re-Examining Judicial Review of Delegated Legislation,\\uc0\\u8221{} {\\i{}Legal Studies}, 27 Februari 2023, 1\\uc0\\u8211{}18, https://doi.org/10.1017/lst.2023.7; Colin T. Reid, \\uc0\\u8220{}The Limits of Devolved Legislative Power: Subordinate Legislation in Scotland,\\uc0\\u8221{} {\\i{}Statute Law Review} 24, no. 3 (1 Januari 2003): 187\\uc0\\u8211{}210, https://doi.org/10.1093/slr/24.3.187; J. A. G. Griffith, \\uc0\\u8220{}The Constitutional Significance of Delegated Legislation in England,\\uc0\\u8221{} {\\i{}Michigan Law Review} 48, no. 8 (1950): 1079\\uc0\\u8211{}1120, https://doi.org/10.2307/1284083.","plainCitation":"Kainat Saif, “Delegated Legislation: A Case Study of Pakistan,” SSRN Scholarly Paper (Rochester, NY, 15 Mei 2021), https://doi.org/10.2139/ssrn.3847989; Kenny Chng, “Re-Examining Judicial Review of Delegated Legislation,” Legal Studies, 27 Februari 2023, 1–18, https://doi.org/10.1017/lst.2023.7; Colin T. Reid, “The Limits of Devolved Legislative Power: Subordinate Legislation in Scotland,” Statute Law Review 24, no. 3 (1 Januari 2003): 187–210, https://doi.org/10.1093/slr/24.3.187; J. A. G. Griffith, “The Constitutional Significance of Delegated Legislation in England,” Michigan Law Review 48, no. 8 (1950): 1079–1120, https://doi.org/10.2307/1284083.","noteIndex":23},"citationItems":[{"id":1519,"uris":["http://zotero.org/users/5443588/items/T42EXTNZ"],"itemData":{"id":1519,"type":"article","abstract":"This paper will explain in detail about delegated legislation with examples for better understanding. This will also enlighten the readers with a legislative analysis of delegated law-making its repercussions, its importance along with criticism on the given subject. Moreover, legal standing with quoted laws will help to further realize the significant value of delegated legislation.","DOI":"10.2139/ssrn.3847989","event-place":"Rochester, NY","genre":"SSRN Scholarly Paper","language":"en","number":"3847989","publisher-place":"Rochester, NY","source":"Social Science Research Network","title":"Delegated Legislation: A Case Study of Pakistan","title-short":"Delegated Legislation","URL":"https://papers.ssrn.com/abstract=3847989","author":[{"family":"Saif","given":"Kainat"}],"accessed":{"date-parts":[["2023",7,20]]},"issued":{"date-parts":[["2021",5,15]]}}},{"id":1521,"uris":["http://zotero.org/users/5443588/items/2J8S4GQJ"],"itemData":{"id":1521,"type":"article-journal","abstract":"The usage of delegated legislation as a means of governance deserves significant attention, in view of the enormous impact that it is capable of having on the lives of citizens. While reforms to the process of parliamentary scrutiny are an important means of minimising the inappropriate usage of delegated legislation, this paper explores the possibility of drawing more fruitfully upon judicial review as an additional control mechanism. It undertakes a theoretical analysis of what makes delegated legislation distinct from primary legislation and other types of executive action for the purposes of judicial review, with a view towards identifying the proper normative orientation of judicial review of delegated legislation – upholding the moral requirements of delegation relationships and safeguarding democratic accountability and the rule of law. It then argues that existing grounds of review applied towards delegated legislation go some way towards but are inadequately directed at this normative orientation. Drawing inspiration from Irish and US jurisprudence, the paper critically evaluates several possible means of filling this doctrinal space, and concludes that the non-delegation doctrine and a rule of law-based ground of judicial review directed at exercises of delegated law-making power can supplement the law of judicial review of delegated legislation.","container-title":"Legal Studies","DOI":"10.1017/lst.2023.7","ISSN":"0261-3875, 1748-121X","language":"en","note":"publisher: Cambridge University Press","page":"1-18","source":"Cambridge University Press","title":"Re-examining judicial review of delegated legislation","author":[{"family":"Chng","given":"Kenny"}],"issued":{"date-parts":[["2023",2,27]]}}},{"id":1540,"uris":["http://zotero.org/users/5443588/items/8QATBIAD"],"itemData":{"id":1540,"type":"article-journal","abstract":"The powers that have been conferred on the Scottish Parliament and the Scottish Executive are subject to a range of legal limitations. There have already been many cases where the validity of actions by the Executive, and even Acts of the Parliament, has been tested in the courts. One major element in the exercise of devolved power is the making of subordinate legislation by the Executive, and although no such legislation has yet been subject to direct challenge, several issues relating to the limits of devolved powers have emerged during the scrutiny procedures in the Scottish Parliament. The purpose of this article is to examine those issues which have been raised in the Subordinate Legislation Committee of the Scottish Parliament and which cast light on the division of legislative power between Edinburgh and London and on the operation of the devolution arrangements. A significant question that emerges is the extent to which the constitutional arrangements for implementing European Community law permit or require the division of responsibilities envisaged in the devolution settlement to be overridden.","container-title":"Statute Law Review","DOI":"10.1093/slr/24.3.187","ISSN":"0144-3593","issue":"3","journalAbbreviation":"Statute Law Review","page":"187-210","source":"Silverchair","title":"The Limits of Devolved Legislative Power: Subordinate Legislation in Scotland","title-short":"The Limits of Devolved Legislative Power","volume":"24","author":[{"family":"Reid","given":"Colin T."}],"issued":{"date-parts":[["2003",1,1]]}}},{"id":1514,"uris":["http://zotero.org/users/5443588/items/JIT9BP6R"],"itemData":{"id":1514,"type":"article-journal","container-title":"Michigan Law Review","DOI":"10.2307/1284083","ISSN":"0026-2234","issue":"8","note":"publisher: The Michigan Law Review Association","page":"1079-1120","source":"JSTOR","title":"The Constitutional Significance of Delegated Legislation in England","volume":"48","author":[{"family":"Griffith","given":"J. A. G."}],"issued":{"date-parts":[["1950"]]}}}],"schema":"https://github.com/citation-style-language/schema/raw/master/csl-citation.json"} </w:instrText>
      </w:r>
      <w:r w:rsidRPr="0024403F">
        <w:rPr>
          <w:rFonts w:asciiTheme="majorHAnsi" w:hAnsiTheme="majorHAnsi" w:cstheme="majorHAnsi"/>
          <w:sz w:val="18"/>
          <w:szCs w:val="18"/>
        </w:rPr>
        <w:fldChar w:fldCharType="separate"/>
      </w:r>
      <w:r w:rsidR="005F71D9" w:rsidRPr="0024403F">
        <w:rPr>
          <w:rFonts w:asciiTheme="majorHAnsi" w:hAnsiTheme="majorHAnsi" w:cstheme="majorHAnsi"/>
          <w:sz w:val="18"/>
          <w:szCs w:val="18"/>
          <w:lang w:val="en-US"/>
        </w:rPr>
        <w:t xml:space="preserve">Kainat Saif, “Delegated Legislation: A Case Study of Pakistan,” SSRN Scholarly Paper (Rochester, NY, 15 Mei 2021), https://doi.org/10.2139/ssrn.3847989; Kenny Chng, “Re-Examining Judicial Review of Delegated Legislation,” </w:t>
      </w:r>
      <w:r w:rsidR="005F71D9" w:rsidRPr="0024403F">
        <w:rPr>
          <w:rFonts w:asciiTheme="majorHAnsi" w:hAnsiTheme="majorHAnsi" w:cstheme="majorHAnsi"/>
          <w:i/>
          <w:iCs/>
          <w:sz w:val="18"/>
          <w:szCs w:val="18"/>
          <w:lang w:val="en-US"/>
        </w:rPr>
        <w:t>Legal Studies</w:t>
      </w:r>
      <w:r w:rsidR="005F71D9" w:rsidRPr="0024403F">
        <w:rPr>
          <w:rFonts w:asciiTheme="majorHAnsi" w:hAnsiTheme="majorHAnsi" w:cstheme="majorHAnsi"/>
          <w:sz w:val="18"/>
          <w:szCs w:val="18"/>
          <w:lang w:val="en-US"/>
        </w:rPr>
        <w:t xml:space="preserve">, 27 Februari 2023, 1–18, https://doi.org/10.1017/lst.2023.7; Colin T. Reid, “The Limits of Devolved Legislative Power: Subordinate Legislation in Scotland,” </w:t>
      </w:r>
      <w:r w:rsidR="005F71D9" w:rsidRPr="0024403F">
        <w:rPr>
          <w:rFonts w:asciiTheme="majorHAnsi" w:hAnsiTheme="majorHAnsi" w:cstheme="majorHAnsi"/>
          <w:i/>
          <w:iCs/>
          <w:sz w:val="18"/>
          <w:szCs w:val="18"/>
          <w:lang w:val="en-US"/>
        </w:rPr>
        <w:t>Statute Law Review</w:t>
      </w:r>
      <w:r w:rsidR="005F71D9" w:rsidRPr="0024403F">
        <w:rPr>
          <w:rFonts w:asciiTheme="majorHAnsi" w:hAnsiTheme="majorHAnsi" w:cstheme="majorHAnsi"/>
          <w:sz w:val="18"/>
          <w:szCs w:val="18"/>
          <w:lang w:val="en-US"/>
        </w:rPr>
        <w:t xml:space="preserve"> 24, no. 3 (1 Januari 2003): 187–210, https://doi.org/10.1093/slr/24.3.187; J. A. G. Griffith, “The Constitutional Significance of Delegated Legislation in England,” </w:t>
      </w:r>
      <w:r w:rsidR="005F71D9" w:rsidRPr="0024403F">
        <w:rPr>
          <w:rFonts w:asciiTheme="majorHAnsi" w:hAnsiTheme="majorHAnsi" w:cstheme="majorHAnsi"/>
          <w:i/>
          <w:iCs/>
          <w:sz w:val="18"/>
          <w:szCs w:val="18"/>
          <w:lang w:val="en-US"/>
        </w:rPr>
        <w:t>Michigan Law Review</w:t>
      </w:r>
      <w:r w:rsidR="005F71D9" w:rsidRPr="0024403F">
        <w:rPr>
          <w:rFonts w:asciiTheme="majorHAnsi" w:hAnsiTheme="majorHAnsi" w:cstheme="majorHAnsi"/>
          <w:sz w:val="18"/>
          <w:szCs w:val="18"/>
          <w:lang w:val="en-US"/>
        </w:rPr>
        <w:t xml:space="preserve"> 48, no. 8 (1950): 1079–1120, https://doi.org/10.2307/1284083.</w:t>
      </w:r>
      <w:r w:rsidRPr="0024403F">
        <w:rPr>
          <w:rFonts w:asciiTheme="majorHAnsi" w:hAnsiTheme="majorHAnsi" w:cstheme="majorHAnsi"/>
          <w:sz w:val="18"/>
          <w:szCs w:val="18"/>
        </w:rPr>
        <w:fldChar w:fldCharType="end"/>
      </w:r>
    </w:p>
  </w:footnote>
  <w:footnote w:id="25">
    <w:p w14:paraId="5789DC97" w14:textId="170C5463"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{"citationID":"HucehDRj","properties":{"formattedCitation":"Jimly Asshidiqie Jimly Asshidiqie, {\\i{}Perihal Undang-Undang} (Jakarta: Konstitusi Press, 2006), 216.","plainCitation":"Jimly Asshidiqie Jimly Asshidiqie, Perihal Undang-Undang (Jakarta: Konstitusi Press, 2006), 216.","noteIndex":24},"citationItems":[{"id":212,"uris":["http://zotero.org/users/5443588/items/RWPU3EBL"],"itemData":{"id":212,"type":"book","event-place":"Jakarta","publisher":"Konstitusi Press","publisher-place":"Jakarta","title":"Perihal Undang-Undang","author":[{"family":"Jimly Asshidiqie","given":"Jimly Asshidiqie"}],"issued":{"date-parts":[["2006"]]}},"locator":"216"}],"schema":"https://github.com/citation-style-language/schema/raw/master/csl-citation.json"}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Jimly Asshidiqie Jimly Asshidiqie, </w:t>
      </w:r>
      <w:r w:rsidR="00906279" w:rsidRPr="0024403F">
        <w:rPr>
          <w:rFonts w:asciiTheme="majorHAnsi" w:hAnsiTheme="majorHAnsi" w:cstheme="majorHAnsi"/>
          <w:i/>
          <w:iCs/>
          <w:sz w:val="18"/>
          <w:szCs w:val="18"/>
          <w:lang w:val="en-US"/>
        </w:rPr>
        <w:t>Perihal Undang-Undang</w:t>
      </w:r>
      <w:r w:rsidR="00906279" w:rsidRPr="0024403F">
        <w:rPr>
          <w:rFonts w:asciiTheme="majorHAnsi" w:hAnsiTheme="majorHAnsi" w:cstheme="majorHAnsi"/>
          <w:sz w:val="18"/>
          <w:szCs w:val="18"/>
          <w:lang w:val="en-US"/>
        </w:rPr>
        <w:t xml:space="preserve"> (Jakarta: Konstitusi Press, 2006), 216.</w:t>
      </w:r>
      <w:r w:rsidRPr="0024403F">
        <w:rPr>
          <w:rFonts w:asciiTheme="majorHAnsi" w:hAnsiTheme="majorHAnsi" w:cstheme="majorHAnsi"/>
          <w:sz w:val="18"/>
          <w:szCs w:val="18"/>
        </w:rPr>
        <w:fldChar w:fldCharType="end"/>
      </w:r>
    </w:p>
  </w:footnote>
  <w:footnote w:id="26">
    <w:p w14:paraId="5EE06B30" w14:textId="7AB1DE50"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{"citationID":"2lB0j9fP","properties":{"formattedCitation":"Ridwan, \\uc0\\u8216{}Eksistensi dan Urgensi Peraturan Menteri dalam Penyelenggaraan Pemerintahan Sistem Presidensial\\uc0\\u8217{}, 835; B.L. Jones, {\\i{}Gamer\\uc0\\u8217{}s Administrative Law}, Seventh Edition (London and Edinburgh: Butterworths, 1989), 54\\uc0\\u8211{}55.","plainCitation":"Ridwan, ‘Eksistensi dan Urgensi Peraturan Menteri dalam Penyelenggaraan Pemerintahan Sistem Presidensial’, 835; B.L. Jones, Gamer’s Administrative Law, Seventh Edition (London and Edinburgh: Butterworths, 1989), 54–55.","dontUpdate":true,"noteIndex":25},"citationItems":[{"id":595,"uris":["http://zotero.org/users/5443588/items/UBVMFZNW"],"itemData":{"id":595,"type":"article-journal","abstract":"Tujuan penelitian ini untuk menganalisis keberadaan Peraturan Menteri dalam penyelenggaraan urusan pemerintahan. Penelitian ini merupakan penelitian normatif, dengan pendekatan undang-undang dan pendekatan konsep. Hasil penelitian ini menunjukan bahwa dalam sistem presidensial, kedudukan Menteri adalah sebagai pembantu Presiden, sehingga tidak dapat diberikan atribusi dari undang-undang untuk membuat Peraturan Menteri. Peraturan Menteri itu masih diperlukan dalam penyelenggaraan urusan pemerintahan, khususnya sebagai peraturan pelaksanaan dari Peraturan Pemerintah (PP) atau Peraturan Presiden (Perpres) untuk mengatur dan mengurus secara operasional bidang-bidang tertentu pada masing-masing kementerian. Bidang-bidang pemerintahan yang bersifat spesifik, tidak proporsional diatur dengan Perpres, apalagi dengan PP, karena PP itu memiliki makna khusus khusus sebagai peraturan pelaksanaan dari suatu undang-undang.","container-title":"Jurnal Konstitusi","DOI":"10.31078/jk1845","ISSN":"2548-1657","issue":"4","language":"id","license":"Copyright (c) 2022 Jurnal Konstitusi","note":"number: 4","page":"828-845","source":"jurnalkonstitusi.mkri.id","title":"Eksistensi dan Urgensi Peraturan Menteri dalam Penyelenggaraan Pemerintahan Sistem Presidensial","volume":"18","author":[{"family":"Ridwan","given":"Ridwan"}],"issued":{"date-parts":[["2022",2,17]]}},"locator":"835"},{"id":591,"uris":["http://zotero.org/users/5443588/items/JHLCF83D"],"itemData":{"id":591,"type":"book","edition":"Seventh Edition","event-place":"London and Edinburgh","publisher":"Butterworths","publisher-place":"London and Edinburgh","title":"Gamer's Administrative Law","author":[{"family":"","given":"B.L. Jones"}],"issued":{"date-parts":[["1989"]]}},"locator":"54-55"}],"schema":"https://github.com/citation-style-language/schema/raw/master/csl-citation.json"}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Ridwan, ‘Eksistensi dan Urgensi Peraturan Menteri dalam Penyelenggaraan Pemerintahan Sistem Presidensial’, 835; lebih lanjut lihat B.L. Jones, </w:t>
      </w:r>
      <w:r w:rsidRPr="0024403F">
        <w:rPr>
          <w:rFonts w:asciiTheme="majorHAnsi" w:hAnsiTheme="majorHAnsi" w:cstheme="majorHAnsi"/>
          <w:i/>
          <w:iCs/>
          <w:sz w:val="18"/>
          <w:szCs w:val="18"/>
          <w:lang w:val="en-US"/>
        </w:rPr>
        <w:t>Gamer’s Administrative Law</w:t>
      </w:r>
      <w:r w:rsidRPr="0024403F">
        <w:rPr>
          <w:rFonts w:asciiTheme="majorHAnsi" w:hAnsiTheme="majorHAnsi" w:cstheme="majorHAnsi"/>
          <w:sz w:val="18"/>
          <w:szCs w:val="18"/>
          <w:lang w:val="en-US"/>
        </w:rPr>
        <w:t>, Seventh Edition (London and Edinburgh: Butterworths, 1989), 54–55.</w:t>
      </w:r>
      <w:r w:rsidRPr="0024403F">
        <w:rPr>
          <w:rFonts w:asciiTheme="majorHAnsi" w:hAnsiTheme="majorHAnsi" w:cstheme="majorHAnsi"/>
          <w:sz w:val="18"/>
          <w:szCs w:val="18"/>
        </w:rPr>
        <w:fldChar w:fldCharType="end"/>
      </w:r>
    </w:p>
  </w:footnote>
  <w:footnote w:id="27">
    <w:p w14:paraId="3CC9FFDA" w14:textId="3609D68D" w:rsidR="00906279" w:rsidRPr="0024403F" w:rsidRDefault="00906279"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{"citationID":"ex8yaygT","properties":{"formattedCitation":"Jeff King, \\uc0\\u8220{}The Province of Delegated Legislation,\\uc0\\u8221{} dalam {\\i{}The Foundations and Future of Public Law: Essays in Honour of Paul Craig}, ed. oleh Elizabeth Fisher, Jeff King, dan Alison Young (Oxford University Press, 2020), 0, https://doi.org/10.1093/oso/9780198845249.003.0008.","plainCitation":"Jeff King, “The Province of Delegated Legislation,” dalam The Foundations and Future of Public Law: Essays in Honour of Paul Craig, ed. oleh Elizabeth Fisher, Jeff King, dan Alison Young (Oxford University Press, 2020), 0, https://doi.org/10.1093/oso/9780198845249.003.0008.","noteIndex":26},"citationItems":[{"id":1534,"uris":["http://zotero.org/users/5443588/items/LBVWACWW"],"itemData":{"id":1534,"type":"chapter","abstract":"Delegated legislation is produced by the executive branch of government, usually under powers conferred by legislatures. Such powers have provoked controversy in most contemporary democracies. There is a widely perceived need to bolster the democratic legitimacy of law produced in this way, either through greater legislative oversight or enhanced participation, or both. This chapter explores how the organically evolved UK constitution has struggled to meet this challenge since the outset of the twentieth century. It examines how the powers to adopt delegated legislation arose, the constitutional tensions it produced, and how that prehistory relates to the dramatic resort to such powers in recent legislation adopted to facilitate the UK’s departure from the European Union. More specifically, it surveys the experience of making and laying delegated legislation before Parliament, and the track record of parliamentary scrutiny, before considering how that background may play an important role in how Brexit-related delegated legislation may fare in legal challenges in the coming years.","container-title":"The Foundations and Future of Public Law: Essays in Honour of Paul Craig","ISBN":"978-0-19-884524-9","note":"DOI: 10.1093/oso/9780198845249.003.0008","page":"0","publisher":"Oxford University Press","source":"Silverchair","title":"The Province of Delegated Legislation","URL":"https://doi.org/10.1093/oso/9780198845249.003.0008","author":[{"family":"King","given":"Jeff"}],"editor":[{"family":"Fisher","given":"Elizabeth"},{"family":"King","given":"Jeff"},{"family":"Young","given":"Alison"}],"accessed":{"date-parts":[["2023",7,20]]},"issued":{"date-parts":[["2020",3,26]]}}}],"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Jeff King, “The Province of Delegated Legislation,” dalam </w:t>
      </w:r>
      <w:r w:rsidRPr="0024403F">
        <w:rPr>
          <w:rFonts w:asciiTheme="majorHAnsi" w:hAnsiTheme="majorHAnsi" w:cstheme="majorHAnsi"/>
          <w:i/>
          <w:iCs/>
          <w:sz w:val="18"/>
          <w:szCs w:val="18"/>
          <w:lang w:val="en-US"/>
        </w:rPr>
        <w:t>The Foundations and Future of Public Law: Essays in Honour of Paul Craig</w:t>
      </w:r>
      <w:r w:rsidRPr="0024403F">
        <w:rPr>
          <w:rFonts w:asciiTheme="majorHAnsi" w:hAnsiTheme="majorHAnsi" w:cstheme="majorHAnsi"/>
          <w:sz w:val="18"/>
          <w:szCs w:val="18"/>
          <w:lang w:val="en-US"/>
        </w:rPr>
        <w:t>, ed. oleh Elizabeth Fisher, Jeff King, dan Alison Young (Oxford University Press, 2020), 0, https://doi.org/10.1093/oso/9780198845249.003.0008.</w:t>
      </w:r>
      <w:r w:rsidRPr="0024403F">
        <w:rPr>
          <w:rFonts w:asciiTheme="majorHAnsi" w:hAnsiTheme="majorHAnsi" w:cstheme="majorHAnsi"/>
          <w:sz w:val="18"/>
          <w:szCs w:val="18"/>
        </w:rPr>
        <w:fldChar w:fldCharType="end"/>
      </w:r>
    </w:p>
  </w:footnote>
  <w:footnote w:id="28">
    <w:p w14:paraId="3FD7A945" w14:textId="4A916F8C" w:rsidR="00603396" w:rsidRPr="0024403F" w:rsidRDefault="00603396"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{"citationID":"wksQbQyL","properties":{"formattedCitation":"Hermann P\\uc0\\u252{}nder, \\uc0\\u8220{}Democratic Legitimation of Delegated Legislation\\uc0\\u8212{}A Comparative View on The American, British And German Law,\\uc0\\u8221{} {\\i{}International &amp; Comparative Law Quarterly} 58, no. 2 (April 2009): 353\\uc0\\u8211{}78, https://doi.org/10.1017/S0020589309001079.","plainCitation":"Hermann Pünder, “Democratic Legitimation of Delegated Legislation—A Comparative View on The American, British And German Law,” International &amp; Comparative Law Quarterly 58, no. 2 (April 2009): 353–78, https://doi.org/10.1017/S0020589309001079.","noteIndex":27},"citationItems":[{"id":1513,"uris":["http://zotero.org/users/5443588/items/CSIQMGL2"],"itemData":{"id":1513,"type":"article-journal","abstract":"This article addresses the problem of democratic legitimacy posed by the executive branch's use of delegated legislative powers. After some remarks on the need for delegated legislation and the problem of legitimation the study identifies in a comparative perspective three approaches of ensuring that delegated legislation carries sufficient democratic legitimation. A first means of democratic legitimation is parliamentary predetermination of the executive role. German law proves that the proper legislature under the Damocles sword of unconstitutionality is in many cases well able to prescribe for the executive a substantive programme of delegated legislation. A second technique of democratic legitimation is that parliament in some way participates in the rule-making procedure. German and British law show that by means of subsequent approval the proper legislature assumes political responsibility for subordinate legislation beyond the original empowerment. The US Supreme Court, however, considers the legislative veto to be unconstitutional. Therefore, American law developed a third approach to solve the problem of democratic legitimacy. American experience makes clear that the democratic legitimation of secondary legislation can also be secured by means of comprehensively involving the public in the delegated legislative process. The author assesses the different models for legitimation and explains that the different approaches suggest valuable solutions to each country's problems.","container-title":"International &amp; Comparative Law Quarterly","DOI":"10.1017/S0020589309001079","ISSN":"1471-6895, 0020-5893","issue":"2","language":"en","note":"publisher: Cambridge University Press","page":"353-378","source":"Cambridge University Press","title":"Democratic Legitimation of Delegated Legislation—A Comparative View on The American, British And German Law","volume":"58","author":[{"family":"Pünder","given":"Hermann"}],"issued":{"date-parts":[["2009",4]]}}}],"schema":"https://github.com/citation-style-language/schema/raw/master/csl-citation.json"}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Hermann Pünder, “Democratic Legitimation of Delegated Legislation—A Comparative View on The American, British </w:t>
      </w:r>
      <w:r w:rsidR="007F7FAF" w:rsidRPr="0024403F">
        <w:rPr>
          <w:rFonts w:asciiTheme="majorHAnsi" w:hAnsiTheme="majorHAnsi" w:cstheme="majorHAnsi"/>
          <w:sz w:val="18"/>
          <w:szCs w:val="18"/>
          <w:lang w:val="en-US"/>
        </w:rPr>
        <w:t>a</w:t>
      </w:r>
      <w:r w:rsidRPr="0024403F">
        <w:rPr>
          <w:rFonts w:asciiTheme="majorHAnsi" w:hAnsiTheme="majorHAnsi" w:cstheme="majorHAnsi"/>
          <w:sz w:val="18"/>
          <w:szCs w:val="18"/>
          <w:lang w:val="en-US"/>
        </w:rPr>
        <w:t xml:space="preserve">nd German Law,” </w:t>
      </w:r>
      <w:r w:rsidRPr="0024403F">
        <w:rPr>
          <w:rFonts w:asciiTheme="majorHAnsi" w:hAnsiTheme="majorHAnsi" w:cstheme="majorHAnsi"/>
          <w:i/>
          <w:iCs/>
          <w:sz w:val="18"/>
          <w:szCs w:val="18"/>
          <w:lang w:val="en-US"/>
        </w:rPr>
        <w:t>International &amp; Comparative Law Quarterly</w:t>
      </w:r>
      <w:r w:rsidRPr="0024403F">
        <w:rPr>
          <w:rFonts w:asciiTheme="majorHAnsi" w:hAnsiTheme="majorHAnsi" w:cstheme="majorHAnsi"/>
          <w:sz w:val="18"/>
          <w:szCs w:val="18"/>
          <w:lang w:val="en-US"/>
        </w:rPr>
        <w:t xml:space="preserve"> 58, no. 2 (April 2009): 353–78, https://doi.org/10.1017/S0020589309001079.</w:t>
      </w:r>
      <w:r w:rsidRPr="0024403F">
        <w:rPr>
          <w:rFonts w:asciiTheme="majorHAnsi" w:hAnsiTheme="majorHAnsi" w:cstheme="majorHAnsi"/>
          <w:sz w:val="18"/>
          <w:szCs w:val="18"/>
        </w:rPr>
        <w:fldChar w:fldCharType="end"/>
      </w:r>
    </w:p>
  </w:footnote>
  <w:footnote w:id="29">
    <w:p w14:paraId="4CB518E8" w14:textId="7650BB37" w:rsidR="00603396" w:rsidRPr="0024403F" w:rsidRDefault="00603396"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{"citationID":"p94KqfiP","properties":{"formattedCitation":"Robert Sch\\uc0\\u252{}tze, \\uc0\\u8220{}\\uc0\\u8216{}Delegated\\uc0\\u8217{} Legislation in the (New) European Union: A Constitutional Analysis,\\uc0\\u8221{} {\\i{}The Modern Law Review} 74, no. 5 (2011): 661\\uc0\\u8211{}93, https://doi.org/10.1111/j.1468-2230.2011.00866.x.","plainCitation":"Robert Schütze, “‘Delegated’ Legislation in the (New) European Union: A Constitutional Analysis,” The Modern Law Review 74, no. 5 (2011): 661–93, https://doi.org/10.1111/j.1468-2230.2011.00866.x.","noteIndex":28},"citationItems":[{"id":1511,"uris":["http://zotero.org/users/5443588/items/AS8QYW25"],"itemData":{"id":1511,"type":"article-journal","abstract":"This article brings classic constitutionalism to an analysis of delegated legislation in the European Union. To facilitate such a constitutional analysis, it starts with a comparative excursion introducing the judicial and political safeguards on executive legislation in American constitutionalism. In the European legal order, similar constitutional safeguards emerged in the last fifty years. First, the Court of Justice developed judicial safeguards in the form of a European non-delegation doctrine. Second, the European legislator has also insisted on political safeguards within delegated legislation. Under the Rome Treaty, ‘comitology’ was the defining characteristic of executive legislation. The Lisbon Treaty represents a revolutionary restructuring of the regulatory process. The (old) Community regime for delegated legislation is split into two halves. Article 290 of the Treaty on the Functioning of the European Union (TFEU) henceforth governs delegations of legislative power, while Article 291 TFEU establishes the constitutional regime for delegations of executive power.","container-title":"The Modern Law Review","DOI":"10.1111/j.1468-2230.2011.00866.x","ISSN":"1468-2230","issue":"5","language":"en","license":"© 2011 The Author. The Modern Law Review © 2011 The Modern Law Review Limited","note":"_eprint: https://onlinelibrary.wiley.com/doi/pdf/10.1111/j.1468-2230.2011.00866.x","page":"661-693","source":"Wiley Online Library","title":"‘Delegated’ Legislation in the (new) European Union: A Constitutional Analysis","title-short":"‘Delegated’ Legislation in the (new) European Union","volume":"74","author":[{"family":"Schütze","given":"Robert"}],"issued":{"date-parts":[["2011"]]}}}],"schema":"https://github.com/citation-style-language/schema/raw/master/csl-citation.json"}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Robert Schütze, “‘Delegated’ Legislation in the (New) European Union: A Constitutional Analysis,” </w:t>
      </w:r>
      <w:r w:rsidRPr="0024403F">
        <w:rPr>
          <w:rFonts w:asciiTheme="majorHAnsi" w:hAnsiTheme="majorHAnsi" w:cstheme="majorHAnsi"/>
          <w:i/>
          <w:iCs/>
          <w:sz w:val="18"/>
          <w:szCs w:val="18"/>
          <w:lang w:val="en-US"/>
        </w:rPr>
        <w:t>The Modern Law Review</w:t>
      </w:r>
      <w:r w:rsidRPr="0024403F">
        <w:rPr>
          <w:rFonts w:asciiTheme="majorHAnsi" w:hAnsiTheme="majorHAnsi" w:cstheme="majorHAnsi"/>
          <w:sz w:val="18"/>
          <w:szCs w:val="18"/>
          <w:lang w:val="en-US"/>
        </w:rPr>
        <w:t xml:space="preserve"> 74, no. 5 (2011): 661–93, https://doi.org/10.1111/j.1468-2230.2011.00866.x.</w:t>
      </w:r>
      <w:r w:rsidRPr="0024403F">
        <w:rPr>
          <w:rFonts w:asciiTheme="majorHAnsi" w:hAnsiTheme="majorHAnsi" w:cstheme="majorHAnsi"/>
          <w:sz w:val="18"/>
          <w:szCs w:val="18"/>
        </w:rPr>
        <w:fldChar w:fldCharType="end"/>
      </w:r>
    </w:p>
  </w:footnote>
  <w:footnote w:id="30">
    <w:p w14:paraId="65748A9D" w14:textId="4943B657" w:rsidR="000C5F8D" w:rsidRPr="0024403F" w:rsidRDefault="000C5F8D"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9229E8" w:rsidRPr="0024403F">
        <w:rPr>
          <w:rFonts w:asciiTheme="majorHAnsi" w:hAnsiTheme="majorHAnsi" w:cstheme="majorHAnsi"/>
          <w:sz w:val="18"/>
          <w:szCs w:val="18"/>
        </w:rPr>
        <w:instrText xml:space="preserve"> ADDIN ZOTERO_ITEM CSL_CITATION {"citationID":"EZrCZTVy","properties":{"formattedCitation":"Lorne Neudorf, \\uc0\\u8220{}Strengthening the Parliamentary Scrutiny of Delegated Legislation: Lessons From Australia,\\uc0\\u8221{} SSRN Scholarly Paper (Rochester, NY, 2019), https://papers.ssrn.com/abstract=3550267; Lorne Neudorf, \\uc0\\u8220{}The Role of a First Nations Voice for Delegated Legislation,\\uc0\\u8221{} {\\i{}Alternative Law Journal} 48, no. 2 (1 Juni 2023): 84\\uc0\\u8211{}89, https://doi.org/10.1177/1037969X231170419.","plainCitation":"Lorne Neudorf, “Strengthening the Parliamentary Scrutiny of Delegated Legislation: Lessons From Australia,” SSRN Scholarly Paper (Rochester, NY, 2019), https://papers.ssrn.com/abstract=3550267; Lorne Neudorf, “The Role of a First Nations Voice for Delegated Legislation,” Alternative Law Journal 48, no. 2 (1 Juni 2023): 84–89, https://doi.org/10.1177/1037969X231170419.","noteIndex":29},"citationItems":[{"id":1538,"uris":["http://zotero.org/users/5443588/items/3BME3Q99"],"itemData":{"id":1538,"type":"article","abstract":"Delegated legislation involves Parliament lending its legislative powers to the executive branch of government, such as to the cabinet or an individual minister. As the ultimate source of legislative power, Parliament has a special responsibility to keep an eye on executive lawmaking. The Australian federal scrutiny committee – formerly called the Senate Standing Committee on Regulations and Ordinances, and now rebadged as the Senate Standing Committee for the Scrutiny of Delegated Legislation – recently carried out an inquiry to consider how it could improve its scrutiny process. In 2019 it published a unanimous report that was endorsed by the Australian Senate in November when it amended its Standing Orders in line with the committee’s proposed changes. This article provides an overview of the Australian scrutiny committee and its inquiry. It then considers the committee’s report and recommendations, which present an opportunity to consider changes to the parliamentary scrutiny of delegated legislation in other jurisdictions such as Canada.","event-place":"Rochester, NY","genre":"SSRN Scholarly Paper","language":"en","number":"3550267","publisher-place":"Rochester, NY","source":"Social Science Research Network","title":"Strengthening the Parliamentary Scrutiny of Delegated Legislation: Lessons From Australia","title-short":"Strengthening the Parliamentary Scrutiny of Delegated Legislation","URL":"https://papers.ssrn.com/abstract=3550267","author":[{"family":"Neudorf","given":"Lorne"}],"accessed":{"date-parts":[["2023",7,20]]},"issued":{"date-parts":[["2019"]]}}},{"id":1527,"uris":["http://zotero.org/users/5443588/items/BZDW4XME"],"itemData":{"id":1527,"type":"article-journal","abstract":"This article explores the role of a proposed Indigenous Voice in relation to Australia's largest source of new law: delegated legislation. It argues that in order for the Voice to have a meaningful role in the federal lawmaking process and fulfil its purpose, it must engage closely with the delegated lawmaking process. In particular, Parliament should provide the Voice with robust consultation and scrutiny functions for relevant delegated legislation, including the power to recommend its disallowance to both Houses of the Parliament.","container-title":"Alternative Law Journal","DOI":"10.1177/1037969X231170419","ISSN":"1037-969X","issue":"2","language":"en","note":"publisher: SAGE Publications Ltd","page":"84-89","source":"SAGE Journals","title":"The role of a First Nations Voice for delegated legislation","volume":"48","author":[{"family":"Neudorf","given":"Lorne"}],"issued":{"date-parts":[["2023",6,1]]}}}],"schema":"https://github.com/citation-style-language/schema/raw/master/csl-citation.json"} </w:instrText>
      </w:r>
      <w:r w:rsidRPr="0024403F">
        <w:rPr>
          <w:rFonts w:asciiTheme="majorHAnsi" w:hAnsiTheme="majorHAnsi" w:cstheme="majorHAnsi"/>
          <w:sz w:val="18"/>
          <w:szCs w:val="18"/>
        </w:rPr>
        <w:fldChar w:fldCharType="separate"/>
      </w:r>
      <w:r w:rsidR="00B835E7" w:rsidRPr="0024403F">
        <w:rPr>
          <w:rFonts w:asciiTheme="majorHAnsi" w:hAnsiTheme="majorHAnsi" w:cstheme="majorHAnsi"/>
          <w:sz w:val="18"/>
          <w:szCs w:val="18"/>
          <w:lang w:val="en-US"/>
        </w:rPr>
        <w:t xml:space="preserve">Lorne Neudorf, “Strengthening the Parliamentary Scrutiny of Delegated Legislation: Lessons </w:t>
      </w:r>
      <w:r w:rsidR="00CE0A71" w:rsidRPr="0024403F">
        <w:rPr>
          <w:rFonts w:asciiTheme="majorHAnsi" w:hAnsiTheme="majorHAnsi" w:cstheme="majorHAnsi"/>
          <w:sz w:val="18"/>
          <w:szCs w:val="18"/>
          <w:lang w:val="en-US"/>
        </w:rPr>
        <w:t>from</w:t>
      </w:r>
      <w:r w:rsidR="00B835E7" w:rsidRPr="0024403F">
        <w:rPr>
          <w:rFonts w:asciiTheme="majorHAnsi" w:hAnsiTheme="majorHAnsi" w:cstheme="majorHAnsi"/>
          <w:sz w:val="18"/>
          <w:szCs w:val="18"/>
          <w:lang w:val="en-US"/>
        </w:rPr>
        <w:t xml:space="preserve"> Australia,” SSRN Scholarly Paper (Rochester, NY, 2019), https://papers.ssrn.com/abstract=3550267; Lorne Neudorf, “The Role of a First Nations Voice for Delegated Legislation,” </w:t>
      </w:r>
      <w:r w:rsidR="00B835E7" w:rsidRPr="0024403F">
        <w:rPr>
          <w:rFonts w:asciiTheme="majorHAnsi" w:hAnsiTheme="majorHAnsi" w:cstheme="majorHAnsi"/>
          <w:i/>
          <w:iCs/>
          <w:sz w:val="18"/>
          <w:szCs w:val="18"/>
          <w:lang w:val="en-US"/>
        </w:rPr>
        <w:t>Alternative Law Journal</w:t>
      </w:r>
      <w:r w:rsidR="00B835E7" w:rsidRPr="0024403F">
        <w:rPr>
          <w:rFonts w:asciiTheme="majorHAnsi" w:hAnsiTheme="majorHAnsi" w:cstheme="majorHAnsi"/>
          <w:sz w:val="18"/>
          <w:szCs w:val="18"/>
          <w:lang w:val="en-US"/>
        </w:rPr>
        <w:t xml:space="preserve"> 48, no. 2 (1 Juni 2023): 84–89, https://doi.org/10.1177/1037969X231170419.</w:t>
      </w:r>
      <w:r w:rsidRPr="0024403F">
        <w:rPr>
          <w:rFonts w:asciiTheme="majorHAnsi" w:hAnsiTheme="majorHAnsi" w:cstheme="majorHAnsi"/>
          <w:sz w:val="18"/>
          <w:szCs w:val="18"/>
        </w:rPr>
        <w:fldChar w:fldCharType="end"/>
      </w:r>
    </w:p>
  </w:footnote>
  <w:footnote w:id="31">
    <w:p w14:paraId="588DD602" w14:textId="4C861E0F" w:rsidR="003D6B33" w:rsidRPr="0024403F" w:rsidRDefault="003D6B33"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Pr="0024403F">
        <w:rPr>
          <w:rFonts w:asciiTheme="majorHAnsi" w:hAnsiTheme="majorHAnsi" w:cstheme="majorHAnsi"/>
          <w:sz w:val="18"/>
          <w:szCs w:val="18"/>
        </w:rPr>
        <w:instrText xml:space="preserve"> ADDIN ZOTERO_ITEM CSL_CITATION {"citationID":"rwucfxVp","properties":{"formattedCitation":"Michael Taggart, \\uc0\\u8220{}From \\uc0\\u8216{}Parlianentary Powers\\uc0\\u8217{} to Privatization: The Chequered History of Delegated Legislation in the Twentieth Century,\\uc0\\u8221{} {\\i{}The University of Toronto Law Journal} 55, no. 3 (2005): 575\\uc0\\u8211{}627.","plainCitation":"Michael Taggart, “From ‘Parlianentary Powers’ to Privatization: The Chequered History of Delegated Legislation in the Twentieth Century,” The University of Toronto Law Journal 55, no. 3 (2005): 575–627.","noteIndex":30},"citationItems":[{"id":1516,"uris":["http://zotero.org/users/5443588/items/UG4788X3"],"itemData":{"id":1516,"type":"article-journal","container-title":"The University of Toronto Law Journal","ISSN":"0042-0220","issue":"3","note":"publisher: University of Toronto Press","page":"575-627","source":"JSTOR","title":"From 'Parlianentary Powers' to Privatization: The Chequered History of Delegated Legislation in the Twentieth Century","title-short":"From 'Parlianentary Powers' to Privatization","volume":"55","author":[{"family":"Taggart","given":"Michael"}],"issued":{"date-parts":[["2005"]]}}}],"schema":"https://github.com/citation-style-language/schema/raw/master/csl-citation.json"}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Michael Taggart, “From ‘Parlianentary Powers’ to Privatization: The Chequered History of Delegated Legislation in the Twentieth Century,” </w:t>
      </w:r>
      <w:r w:rsidRPr="0024403F">
        <w:rPr>
          <w:rFonts w:asciiTheme="majorHAnsi" w:hAnsiTheme="majorHAnsi" w:cstheme="majorHAnsi"/>
          <w:i/>
          <w:iCs/>
          <w:sz w:val="18"/>
          <w:szCs w:val="18"/>
          <w:lang w:val="en-US"/>
        </w:rPr>
        <w:t>The University of Toronto Law Journal</w:t>
      </w:r>
      <w:r w:rsidRPr="0024403F">
        <w:rPr>
          <w:rFonts w:asciiTheme="majorHAnsi" w:hAnsiTheme="majorHAnsi" w:cstheme="majorHAnsi"/>
          <w:sz w:val="18"/>
          <w:szCs w:val="18"/>
          <w:lang w:val="en-US"/>
        </w:rPr>
        <w:t xml:space="preserve"> 55, no. 3 (2005): 575–627.</w:t>
      </w:r>
      <w:r w:rsidRPr="0024403F">
        <w:rPr>
          <w:rFonts w:asciiTheme="majorHAnsi" w:hAnsiTheme="majorHAnsi" w:cstheme="majorHAnsi"/>
          <w:sz w:val="18"/>
          <w:szCs w:val="18"/>
        </w:rPr>
        <w:fldChar w:fldCharType="end"/>
      </w:r>
    </w:p>
  </w:footnote>
  <w:footnote w:id="32">
    <w:p w14:paraId="627D0493" w14:textId="2E022D89"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{"citationID":"qShG26z7","properties":{"formattedCitation":"Rizal Irvan Amin dan Achmad Achmad, \\uc0\\u8220{}Mengurai Permasalahan Peraturan Perundang-Undangan Di Indonesia,\\uc0\\u8221{} {\\i{}RES PUBLICA} 4, no. 2 (23 Desember 2020): 214.","plainCitation":"Rizal Irvan Amin dan Achmad Achmad, “Mengurai Permasalahan Peraturan Perundang-Undangan Di Indonesia,” RES PUBLICA 4, no. 2 (23 Desember 2020): 214.","noteIndex":31},"citationItems":[{"id":582,"uris":["http://zotero.org/users/5443588/items/DYID7EYL"],"itemData":{"id":582,"type":"article-journal","abstract":"The acute problem of regulation, both in terms of quantity and quality, is a inevitability. There has been discrepancy in the formation of laws and regulations, namely the mismatch between expectations and reality. This research aims to present and explain a portrait of the laws and regulations in Indonesia, both in terms of quantity and quality. This research is a prescriptive normative legal research through literature study use technical data analysis related to the themes discussed. Result research shows that there is an acute problem in the laws and regulations in Indonesia, where in quantity and obesity quality experiences conflict, overlap, inconsistency, multiple interpretations, and not operational. Lack of understanding of the nature of regulation and insecurity in maintaining the quality of the national legal system results in inability legal system to realize state finances. Therefore, it is needed an extraordinary breakthrough through a regulatory reform in order to regulate quantity laws and regulations can be controlled proportionally and the quality of the regulations legislation can also be improved.","container-title":"RES PUBLICA","ISSN":"2809-8048","issue":"2","language":"en","license":"Copyright (c) 2020 RES PUBLICA","note":"number: 2","page":"205-220","source":"jurnal.uns.ac.id","title":"Mengurai Permasalahan Peraturan Perundang-Undangan di Indonesia","volume":"4","author":[{"family":"Amin","given":"Rizal Irvan"},{"family":"Achmad","given":"Achmad"}],"issued":{"date-parts":[["2020",12,23]]}},"locator":"214"}],"schema":"https://github.com/citation-style-language/schema/raw/master/csl-citation.json"}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Rizal Irvan Amin dan Achmad Achmad, “Mengurai Permasalahan Peraturan Perundang-Undangan Di Indonesia,” </w:t>
      </w:r>
      <w:r w:rsidR="00906279" w:rsidRPr="0024403F">
        <w:rPr>
          <w:rFonts w:asciiTheme="majorHAnsi" w:hAnsiTheme="majorHAnsi" w:cstheme="majorHAnsi"/>
          <w:i/>
          <w:iCs/>
          <w:sz w:val="18"/>
          <w:szCs w:val="18"/>
          <w:lang w:val="en-US"/>
        </w:rPr>
        <w:t>RES PUBLICA</w:t>
      </w:r>
      <w:r w:rsidR="00906279" w:rsidRPr="0024403F">
        <w:rPr>
          <w:rFonts w:asciiTheme="majorHAnsi" w:hAnsiTheme="majorHAnsi" w:cstheme="majorHAnsi"/>
          <w:sz w:val="18"/>
          <w:szCs w:val="18"/>
          <w:lang w:val="en-US"/>
        </w:rPr>
        <w:t xml:space="preserve"> 4, no. 2 (23 Desember 2020): 214.</w:t>
      </w:r>
      <w:r w:rsidRPr="0024403F">
        <w:rPr>
          <w:rFonts w:asciiTheme="majorHAnsi" w:hAnsiTheme="majorHAnsi" w:cstheme="majorHAnsi"/>
          <w:sz w:val="18"/>
          <w:szCs w:val="18"/>
        </w:rPr>
        <w:fldChar w:fldCharType="end"/>
      </w:r>
    </w:p>
  </w:footnote>
  <w:footnote w:id="33">
    <w:p w14:paraId="71256A12" w14:textId="71F01E5A"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{"citationID":"NTX84XNW","properties":{"formattedCitation":"Jimly Asshidiqie, {\\i{}Perihal Undang-Undang}, 215.","plainCitation":"Jimly Asshidiqie, Perihal Undang-Undang, 215.","noteIndex":32},"citationItems":[{"id":212,"uris":["http://zotero.org/users/5443588/items/RWPU3EBL"],"itemData":{"id":212,"type":"book","event-place":"Jakarta","publisher":"Konstitusi Press","publisher-place":"Jakarta","title":"Perihal Undang-Undang","author":[{"family":"Jimly Asshidiqie","given":"Jimly Asshidiqie"}],"issued":{"date-parts":[["2006"]]}},"locator":"215"}],"schema":"https://github.com/citation-style-language/schema/raw/master/csl-citation.json"}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Jimly Asshidiqie, </w:t>
      </w:r>
      <w:r w:rsidR="00906279" w:rsidRPr="0024403F">
        <w:rPr>
          <w:rFonts w:asciiTheme="majorHAnsi" w:hAnsiTheme="majorHAnsi" w:cstheme="majorHAnsi"/>
          <w:i/>
          <w:iCs/>
          <w:sz w:val="18"/>
          <w:szCs w:val="18"/>
          <w:lang w:val="en-US"/>
        </w:rPr>
        <w:t>Perihal Undang-Undang</w:t>
      </w:r>
      <w:r w:rsidR="00906279" w:rsidRPr="0024403F">
        <w:rPr>
          <w:rFonts w:asciiTheme="majorHAnsi" w:hAnsiTheme="majorHAnsi" w:cstheme="majorHAnsi"/>
          <w:sz w:val="18"/>
          <w:szCs w:val="18"/>
          <w:lang w:val="en-US"/>
        </w:rPr>
        <w:t>, 215.</w:t>
      </w:r>
      <w:r w:rsidRPr="0024403F">
        <w:rPr>
          <w:rFonts w:asciiTheme="majorHAnsi" w:hAnsiTheme="majorHAnsi" w:cstheme="majorHAnsi"/>
          <w:sz w:val="18"/>
          <w:szCs w:val="18"/>
        </w:rPr>
        <w:fldChar w:fldCharType="end"/>
      </w:r>
    </w:p>
  </w:footnote>
  <w:footnote w:id="34">
    <w:p w14:paraId="55828814" w14:textId="6A4549FB" w:rsidR="00EF251B" w:rsidRPr="0024403F" w:rsidRDefault="00EF251B"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{"citationID":"jHfHGA0d","properties":{"formattedCitation":"Zaka Firma Aditya dan Muhammad Reza Winata, \\uc0\\u8220{}Rekonstruksi Hierarki Peraturan Perundang-Undangan Di Indonesia (Reconstruction Of The Hierarchy Of Legislation In Indonesia) | Aditya | Negara Hukum: Membangun Hukum Untuk Keadilan Dan Kesejahteraan,\\uc0\\u8221{} 24 September 2018, https://doi.org/10.22212/jnh.v9i1.976.","plainCitation":"Zaka Firma Aditya dan Muhammad Reza Winata, “Rekonstruksi Hierarki Peraturan Perundang-Undangan Di Indonesia (Reconstruction Of The Hierarchy Of Legislation In Indonesia) | Aditya | Negara Hukum: Membangun Hukum Untuk Keadilan Dan Kesejahteraan,” 24 September 2018, https://doi.org/10.22212/jnh.v9i1.976.","noteIndex":33},"citationItems":[{"id":1509,"uris":["http://zotero.org/users/5443588/items/75P8S993"],"itemData":{"id":1509,"type":"article-journal","abstract":"The hierarchy of legislation in Indonesia has been amended 4 (four) times, but still contains juridical issues. The most common problems are related to the overlapping of existing rules. Law Number 12 Year 2011 as the guidance of hierarchy of legislation which is considered to improve the probability in the previous law, was also experiencing the same problem. Some of the problems contained in Law 12/2011 are related to the reposition of the People's Consultative Assembly decree (MPR's decree), the unclear position of the ministerial regulations, the state organs regulations, and local regulations of village. Even, as well as the content of the presidential regulation that is considered to be the same as the government regulation. This paper will discuss about (1) the legal historis and legal policy of the hierarchy of legislation in Indonesia and its problems; (2) the reconstruction of the hierarchy of legislation in Indonesia. The results of this paper that the establishment of a hierarchy of legislation in Indonesia has each political law in accordance with the regime at the time. Each hierarchy has its own problems, although the original aim is to discipline and correct the ambiguity of the previous legislation. Thus, the reconstruction of the hierarchy of legislation is important to ensure consistency and harmony of norms at various levels of legislation. The reconstruction in question is to rearrange the hierarchy of legislation by distinguishing between the legislation in the central and regional levels. AbstrakHierarki peraturan perundang-undangan di Indonesia telah diubah sebanyak 4 (empat) kali, namun masih mengandung permasalahan-permasalahan yuridis di dalamnya. Permasalahan yang paling sering terjadi berkaitan dengan tumpang tindihnya aturan-aturan yang ada. UU No. 12 Tahun 2011 tentang Pembentukan Peraturan Perundang-undangan sebagai pedoman hierarki perundang-undangan yang dianggap dapat mengatasi masalah dalam undang-undang sebelumnya, namun juga mengalami masalah yang sama. Beberapa problematika yang ada dalam UU No. 12 Tahun 2011 berkaitan dengan dikembalikannya kedudukan ketetapan MPR, tidak tegasnya kedudukan peraturan menteri, kedudukan peraturan lembaga negara, dan peraturan desa, serta materi muatan peraturan presiden yang dianggap sama dengan peraturan pemerintah. Tulisan ini akan membahas mengenai (1) legal historis dan politik hukum hierarki peraturan perundang-undangan di Indonesia beserta permasalahan-permasalahnnya; dan (2) rekonstruksi hierarki peraturan perundang-undangan di Indonesia. Adapun hasil penulisan ini bahwa pembentukan hierarki peraturan perundang-undangan di Indonesia memiliki politik hukum masing-masing sesuai dengan rezim pemerintahan pada saat itu. Setiap hierarki memiliki problematikanya masing-masing, meskipun tujuan awalnya sama yaitu untuk menertibkan dan memperbaiki kerancuan dari peraturan sebelumnya, sehingga rekonstruksi hierarki peraturan perundang-undangan penting dilakukan agar menjamin konsistensi dan keselarasan norma-norma pada berbagai tingkatan peraturan perundang-undangan. Adapun rekonstruksi yang dimaksud adalah dengan menata kembali hierarki peraturan perundang-undangan dengan membedakannya antara peraturan perundang-undangan tingkat pusat dan tingkat daerah.","DOI":"https://doi.org/10.22212/jnh.v9i1.976","language":"en-US","source":"jurnal.dpr.go.id","title":"Rekonstruksi Hierarki Peraturan Perundang-Undangan Di Indonesia (Reconstruction Of The Hierarchy Of Legislation In Indonesia) | Aditya | Negara Hukum: Membangun Hukum untuk Keadilan dan Kesejahteraan","title-short":"Rekonstruksi Hierarki Peraturan Perundang-Undangan Di Indonesia (Reconstruction Of The Hierarchy Of Legislation In Indonesia) | Aditya | Negara Hukum","URL":"https://jurnal.dpr.go.id/index.php/hukum/article/view/976","author":[{"family":"Aditya","given":"Zaka Firma"},{"family":"Winata","given":"Muhammad Reza"}],"accessed":{"date-parts":[["2023",7,20]]},"issued":{"date-parts":[["2018",9,24]]}}}],"schema":"https://github.com/citation-style-language/schema/raw/master/csl-citation.json"} </w:instrText>
      </w:r>
      <w:r w:rsidRPr="0024403F">
        <w:rPr>
          <w:rFonts w:asciiTheme="majorHAnsi" w:hAnsiTheme="majorHAnsi" w:cstheme="majorHAnsi"/>
          <w:sz w:val="18"/>
          <w:szCs w:val="18"/>
        </w:rPr>
        <w:fldChar w:fldCharType="separate"/>
      </w:r>
      <w:r w:rsidRPr="0024403F">
        <w:rPr>
          <w:rFonts w:asciiTheme="majorHAnsi" w:hAnsiTheme="majorHAnsi" w:cstheme="majorHAnsi"/>
          <w:sz w:val="18"/>
          <w:szCs w:val="18"/>
          <w:lang w:val="en-US"/>
        </w:rPr>
        <w:t xml:space="preserve">Zaka Firma Aditya dan Muhammad Reza Winata, “Rekonstruksi Hierarki Peraturan Perundang-Undangan Di Indonesia (Reconstruction </w:t>
      </w:r>
      <w:r w:rsidR="00CE0A71" w:rsidRPr="0024403F">
        <w:rPr>
          <w:rFonts w:asciiTheme="majorHAnsi" w:hAnsiTheme="majorHAnsi" w:cstheme="majorHAnsi"/>
          <w:sz w:val="18"/>
          <w:szCs w:val="18"/>
          <w:lang w:val="en-US"/>
        </w:rPr>
        <w:t>of</w:t>
      </w:r>
      <w:r w:rsidRPr="0024403F">
        <w:rPr>
          <w:rFonts w:asciiTheme="majorHAnsi" w:hAnsiTheme="majorHAnsi" w:cstheme="majorHAnsi"/>
          <w:sz w:val="18"/>
          <w:szCs w:val="18"/>
          <w:lang w:val="en-US"/>
        </w:rPr>
        <w:t xml:space="preserve"> The Hierarchy </w:t>
      </w:r>
      <w:r w:rsidR="00E518B6" w:rsidRPr="0024403F">
        <w:rPr>
          <w:rFonts w:asciiTheme="majorHAnsi" w:hAnsiTheme="majorHAnsi" w:cstheme="majorHAnsi"/>
          <w:sz w:val="18"/>
          <w:szCs w:val="18"/>
          <w:lang w:val="en-US"/>
        </w:rPr>
        <w:t>of</w:t>
      </w:r>
      <w:r w:rsidRPr="0024403F">
        <w:rPr>
          <w:rFonts w:asciiTheme="majorHAnsi" w:hAnsiTheme="majorHAnsi" w:cstheme="majorHAnsi"/>
          <w:sz w:val="18"/>
          <w:szCs w:val="18"/>
          <w:lang w:val="en-US"/>
        </w:rPr>
        <w:t xml:space="preserve"> Legislation In Indonesia) | Aditya | Negara Hukum: Membangun Hukum Untuk Keadilan Dan Kesejahteraan,” 24 September 2018, https://doi.org/10.22212/jnh.v9i1.976.</w:t>
      </w:r>
      <w:r w:rsidRPr="0024403F">
        <w:rPr>
          <w:rFonts w:asciiTheme="majorHAnsi" w:hAnsiTheme="majorHAnsi" w:cstheme="majorHAnsi"/>
          <w:sz w:val="18"/>
          <w:szCs w:val="18"/>
        </w:rPr>
        <w:fldChar w:fldCharType="end"/>
      </w:r>
    </w:p>
  </w:footnote>
  <w:footnote w:id="35">
    <w:p w14:paraId="4363193E" w14:textId="4E76A7E5"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{"citationID":"V9Qu74VO","properties":{"formattedCitation":"Rumiarta, \\uc0\\u8220{}Kedudukan Peraturan Menteri pada Konstitusi,\\uc0\\u8221{} 13.","plainCitation":"Rumiarta, “Kedudukan Peraturan Menteri pada Konstitusi,” 13.","noteIndex":34},"citationItems":[{"id":594,"uris":["http://zotero.org/users/5443588/items/ZNXUM3A7"],"itemData":{"id":594,"type":"article-journal","abstract":"ABSTRACTBased on Article 7 paragraph (1) of Act No. 12 year 2011, states that the type and hierarchy of legislation consists of the Constitution of the Republic of Indonesia year 1945, the People's Consultative Assembly Decree, Laws/Government Regulation in Lieu of Law laws, government regulations, the Presidential Decree, and the Provincial Regulation. Besides laws that have been set out in Article 7 paragraph (1) is, Act No. 12 year 2011 also recognizes other legislation, one regulation. Position regulation established after the enactment of Act No. 12 Year 2011, both established on the basis of the order of legislation that is higher or formed on the basis of authority in the field of government affairs particular that of the minister, qualified as legislation.Â Keywords: Position and Authority, Regulation Legislation, Regulation of the Minister.Â","container-title":"Kerta Dyatmika","DOI":"10.46650/kd.12.2.373.%p","ISSN":"2722-9009","issue":"2","language":"in","license":"Copyright (c) 2017 Krettha Dyatmika","note":"number: 2","source":"ejournal.undwi.ac.id","title":"Kedudukan Peraturan Menteri pada Konstitusi","URL":"http://ejournal.undwi.ac.id/index.php/kertadyatmika/article/view/373","volume":"12","author":[{"family":"Rumiarta","given":"I. Nyoman Prabhu Buana"}],"accessed":{"date-parts":[["2022",4,23]]},"issued":{"date-parts":[["2015",9,6]]}},"locator":"13"}],"schema":"https://github.com/citation-style-language/schema/raw/master/csl-citation.json"}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Rumiarta, “Kedudukan Peraturan Menteri pada Konstitusi,” 13.</w:t>
      </w:r>
      <w:r w:rsidRPr="0024403F">
        <w:rPr>
          <w:rFonts w:asciiTheme="majorHAnsi" w:hAnsiTheme="majorHAnsi" w:cstheme="majorHAnsi"/>
          <w:sz w:val="18"/>
          <w:szCs w:val="18"/>
        </w:rPr>
        <w:fldChar w:fldCharType="end"/>
      </w:r>
    </w:p>
  </w:footnote>
  <w:footnote w:id="36">
    <w:p w14:paraId="4BCC3E28" w14:textId="37ABAEAA"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3D6B33" w:rsidRPr="0024403F">
        <w:rPr>
          <w:rFonts w:asciiTheme="majorHAnsi" w:hAnsiTheme="majorHAnsi" w:cstheme="majorHAnsi"/>
          <w:sz w:val="18"/>
          <w:szCs w:val="18"/>
        </w:rPr>
        <w:instrText xml:space="preserve"> ADDIN ZOTERO_ITEM CSL_CITATION {"citationID":"0RFfv3vx","properties":{"formattedCitation":"Saldi Isra, \\uc0\\u8220{}Merampingkan Regulasi,\\uc0\\u8221{} kompas.id, 13 Maret 2017, https://www.kompas.id/baca/opini/2017/03/13/merampingkan-regulasi.","plainCitation":"Saldi Isra, “Merampingkan Regulasi,” kompas.id, 13 Maret 2017, https://www.kompas.id/baca/opini/2017/03/13/merampingkan-regulasi.","noteIndex":35},"citationItems":[{"id":590,"uris":["http://zotero.org/users/5443588/items/KJPIL8A4"],"itemData":{"id":590,"type":"webpage","container-title":"kompas.id","language":"id","title":"Merampingkan Regulasi","URL":"https://www.kompas.id/baca/opini/2017/03/13/merampingkan-regulasi","author":[{"family":"","given":"Saldi Isra"}],"accessed":{"date-parts":[["2022",4,24]]},"issued":{"date-parts":[["2017",3,13]]}}}],"schema":"https://github.com/citation-style-language/schema/raw/master/csl-citation.json"}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Saldi Isra, “Merampingkan Regulasi,” kompas.id, 13 Maret 2017, https://www.kompas.id/baca/opini/2017/03/13/merampingkan-regulasi.</w:t>
      </w:r>
      <w:r w:rsidRPr="0024403F">
        <w:rPr>
          <w:rFonts w:asciiTheme="majorHAnsi" w:hAnsiTheme="majorHAnsi" w:cstheme="majorHAnsi"/>
          <w:sz w:val="18"/>
          <w:szCs w:val="18"/>
        </w:rPr>
        <w:fldChar w:fldCharType="end"/>
      </w:r>
    </w:p>
  </w:footnote>
  <w:footnote w:id="37">
    <w:p w14:paraId="75796E2D" w14:textId="00F7449D"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{"citationID":"XxfDygo9","properties":{"formattedCitation":"Admin, \\uc0\\u8220{}Kajian Reformasi Regulasi di Indonesia: Pokok Permasalahan dan Strategi Penanganannya,\\uc0\\u8221{} {\\i{}pshk.or.id} (blog), 5 November 2019, 50, https://pshk.or.id/penelitian/kajian-reformasi-regulasi-di-indonesia-pokok-permasalahan-dan-strategi-penanganannya/.","plainCitation":"Admin, “Kajian Reformasi Regulasi di Indonesia: Pokok Permasalahan dan Strategi Penanganannya,” pshk.or.id (blog), 5 November 2019, 50, https://pshk.or.id/penelitian/kajian-reformasi-regulasi-di-indonesia-pokok-permasalahan-dan-strategi-penanganannya/.","noteIndex":36},"citationItems":[{"id":602,"uris":["http://zotero.org/users/5443588/items/BZTAK4WI"],"itemData":{"id":602,"type":"post-weblog","abstract":"Kajian ini menemukan sejumlah permasalahan mendasar dalam sistem peraturan perundang-undangan di Indonesia. Temuan-temuan itu mengonfirmasi salah satu gejala yang sudah diyakini oleh berbagai pihak mengenai kelemahan dalam sistem perundang-undangan, yaitu tidak sinkronnya perencanaan peraturan perundang-undangan, baik di tingkat pusat maupun daerah, dengan perencanaan dan kebijakan pembangunan. Selain itu, perkembangan hingga saat ini menunjukkan adanya kecenderungan…","container-title":"pshk.or.id","language":"id-ID","title":"Kajian Reformasi Regulasi di Indonesia: Pokok Permasalahan dan Strategi Penanganannya","title-short":"Kajian Reformasi Regulasi di Indonesia","URL":"https://pshk.or.id/penelitian/kajian-reformasi-regulasi-di-indonesia-pokok-permasalahan-dan-strategi-penanganannya/","author":[{"literal":"Admin"}],"accessed":{"date-parts":[["2022",4,22]]},"issued":{"date-parts":[["2019",11,5]]}},"locator":"50"}],"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Admin, “Kajian Reformasi Regulasi di Indonesia: Pokok Permasalahan dan Strategi Penanganannya,” </w:t>
      </w:r>
      <w:r w:rsidR="00906279" w:rsidRPr="0024403F">
        <w:rPr>
          <w:rFonts w:asciiTheme="majorHAnsi" w:hAnsiTheme="majorHAnsi" w:cstheme="majorHAnsi"/>
          <w:i/>
          <w:iCs/>
          <w:sz w:val="18"/>
          <w:szCs w:val="18"/>
          <w:lang w:val="en-US"/>
        </w:rPr>
        <w:t>pshk.or.id</w:t>
      </w:r>
      <w:r w:rsidR="00906279" w:rsidRPr="0024403F">
        <w:rPr>
          <w:rFonts w:asciiTheme="majorHAnsi" w:hAnsiTheme="majorHAnsi" w:cstheme="majorHAnsi"/>
          <w:sz w:val="18"/>
          <w:szCs w:val="18"/>
          <w:lang w:val="en-US"/>
        </w:rPr>
        <w:t xml:space="preserve"> (blog), 5 November 2019, 50, https://pshk.or.id/penelitian/kajian-reformasi-regulasi-di-indonesia-pokok-permasalahan-dan-strategi-penanganannya/.</w:t>
      </w:r>
      <w:r w:rsidRPr="0024403F">
        <w:rPr>
          <w:rFonts w:asciiTheme="majorHAnsi" w:hAnsiTheme="majorHAnsi" w:cstheme="majorHAnsi"/>
          <w:sz w:val="18"/>
          <w:szCs w:val="18"/>
        </w:rPr>
        <w:fldChar w:fldCharType="end"/>
      </w:r>
    </w:p>
  </w:footnote>
  <w:footnote w:id="38">
    <w:p w14:paraId="516FFCB9" w14:textId="25D3457C" w:rsidR="00A54A6F" w:rsidRPr="0024403F" w:rsidRDefault="00A54A6F"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fldLock="1"/>
      </w:r>
      <w:r w:rsidRPr="0024403F">
        <w:rPr>
          <w:rFonts w:asciiTheme="majorHAnsi" w:hAnsiTheme="majorHAnsi" w:cstheme="majorHAnsi"/>
          <w:sz w:val="18"/>
          <w:szCs w:val="18"/>
        </w:rPr>
        <w:instrText>ADDIN CSL_CITATION {"citationItems":[{"id":"ITEM-1","itemData":{"DOI":"https://doi.org/10.24252/al-qadau.v9i1.29188","author":[{"dropping-particle":"","family":"Andini","given":"Gusta Orin","non-dropping-particle":"","parse-names":false,"suffix":""},{"dropping-particle":"","family":"Marinda","given":"Fitrah","non-dropping-particle":"","parse-names":false,"suffix":""},{"dropping-particle":"","family":"Hamdani","given":"Khulaifi","non-dropping-particle":"","parse-names":false,"suffix":""}],"container-title":"Jurnal Al-Qadau Peradilan dan Hukum Keluarga Islam","id":"ITEM-1","issue":"1","issued":{"date-parts":[["2022"]]},"page":"65","title":"Pertanggungjawaban Tindak Pidana Korupsi yang dilakukan oleh Aparatur Sipil Negara","type":"article-journal","volume":"9"},"uris":["http://www.mendeley.com/documents/?uuid=1f354361-9451-3d88-87d3-b0fb4fee74f4"]}],"mendeley":{"formattedCitation":"Gusta Orin Andini, Fitrah Marinda, and Khulaifi Hamdani, “Pertanggungjawaban Tindak Pidana Korupsi Yang Dilakukan Oleh Aparatur Sipil Negara,” &lt;i&gt;Jurnal Al-Qadau Peradilan Dan Hukum Keluarga Islam&lt;/i&gt; 9, no. 1 (2022): 65, https://doi.org/https://doi.org/10.24252/al-qadau.v9i1.29188.","plainTextFormattedCitation":"Gusta Orin Andini, Fitrah Marinda, and Khulaifi Hamdani, “Pertanggungjawaban Tindak Pidana Korupsi Yang Dilakukan Oleh Aparatur Sipil Negara,” Jurnal Al-Qadau Peradilan Dan Hukum Keluarga Islam 9, no. 1 (2022): 65, https://doi.org/https://doi.org/10.24252/al-qadau.v9i1.29188."},"properties":{"noteIndex":2},"schema":"https://github.com/citation-style-language/schema/raw/master/csl-citation.json"}</w:instrText>
      </w:r>
      <w:r w:rsidRPr="0024403F">
        <w:rPr>
          <w:rFonts w:asciiTheme="majorHAnsi" w:hAnsiTheme="majorHAnsi" w:cstheme="majorHAnsi"/>
          <w:sz w:val="18"/>
          <w:szCs w:val="18"/>
        </w:rPr>
        <w:fldChar w:fldCharType="separate"/>
      </w:r>
      <w:r w:rsidRPr="0024403F">
        <w:rPr>
          <w:rFonts w:asciiTheme="majorHAnsi" w:hAnsiTheme="majorHAnsi" w:cstheme="majorHAnsi"/>
          <w:noProof/>
          <w:sz w:val="18"/>
          <w:szCs w:val="18"/>
        </w:rPr>
        <w:t xml:space="preserve">Gusta Orin Andini, Fitrah Marinda, and Khulaifi Hamdani, “Pertanggungjawaban Tindak Pidana Korupsi Yang Dilakukan Oleh Aparatur Sipil Negara,” </w:t>
      </w:r>
      <w:r w:rsidRPr="0024403F">
        <w:rPr>
          <w:rFonts w:asciiTheme="majorHAnsi" w:hAnsiTheme="majorHAnsi" w:cstheme="majorHAnsi"/>
          <w:i/>
          <w:noProof/>
          <w:sz w:val="18"/>
          <w:szCs w:val="18"/>
        </w:rPr>
        <w:t>Jurnal Al-Qadau Peradilan Dan Hukum Keluarga Islam</w:t>
      </w:r>
      <w:r w:rsidRPr="0024403F">
        <w:rPr>
          <w:rFonts w:asciiTheme="majorHAnsi" w:hAnsiTheme="majorHAnsi" w:cstheme="majorHAnsi"/>
          <w:noProof/>
          <w:sz w:val="18"/>
          <w:szCs w:val="18"/>
        </w:rPr>
        <w:t xml:space="preserve"> 9, no. 1 (2022): 65, https://doi.org/https://doi.org/10.24252/al-qadau.v9i1.29188.</w:t>
      </w:r>
      <w:r w:rsidRPr="0024403F">
        <w:rPr>
          <w:rFonts w:asciiTheme="majorHAnsi" w:hAnsiTheme="majorHAnsi" w:cstheme="majorHAnsi"/>
          <w:sz w:val="18"/>
          <w:szCs w:val="18"/>
        </w:rPr>
        <w:fldChar w:fldCharType="end"/>
      </w:r>
    </w:p>
  </w:footnote>
  <w:footnote w:id="39">
    <w:p w14:paraId="4E84B8E5" w14:textId="2BC82A10"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{"citationID":"u8wscdaK","properties":{"formattedCitation":"Ridwan, \\uc0\\u8220{}Eksistensi dan Urgensi Peraturan Menteri dalam Penyelenggaraan Pemerintahan Sistem Presidensial,\\uc0\\u8221{} 831.","plainCitation":"Ridwan, “Eksistensi dan Urgensi Peraturan Menteri dalam Penyelenggaraan Pemerintahan Sistem Presidensial,” 831.","noteIndex":37},"citationItems":[{"id":595,"uris":["http://zotero.org/users/5443588/items/UBVMFZNW"],"itemData":{"id":595,"type":"article-journal","abstract":"Tujuan penelitian ini untuk menganalisis keberadaan Peraturan Menteri dalam penyelenggaraan urusan pemerintahan. Penelitian ini merupakan penelitian normatif, dengan pendekatan undang-undang dan pendekatan konsep. Hasil penelitian ini menunjukan bahwa dalam sistem presidensial, kedudukan Menteri adalah sebagai pembantu Presiden, sehingga tidak dapat diberikan atribusi dari undang-undang untuk membuat Peraturan Menteri. Peraturan Menteri itu masih diperlukan dalam penyelenggaraan urusan pemerintahan, khususnya sebagai peraturan pelaksanaan dari Peraturan Pemerintah (PP) atau Peraturan Presiden (Perpres) untuk mengatur dan mengurus secara operasional bidang-bidang tertentu pada masing-masing kementerian. Bidang-bidang pemerintahan yang bersifat spesifik, tidak proporsional diatur dengan Perpres, apalagi dengan PP, karena PP itu memiliki makna khusus khusus sebagai peraturan pelaksanaan dari suatu undang-undang.","container-title":"Jurnal Konstitusi","DOI":"10.31078/jk1845","ISSN":"2548-1657","issue":"4","language":"id","license":"Copyright (c) 2022 Jurnal Konstitusi","note":"number: 4","page":"828-845","source":"jurnalkonstitusi.mkri.id","title":"Eksistensi dan Urgensi Peraturan Menteri dalam Penyelenggaraan Pemerintahan Sistem Presidensial","volume":"18","author":[{"family":"Ridwan","given":"Ridwan"}],"issued":{"date-parts":[["2022",2,17]]}},"locator":"831"}],"schema":"https://github.com/citation-style-language/schema/raw/master/csl-citation.json"}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Ridwan, “Eksistensi dan Urgensi Peraturan Menteri dalam Penyelenggaraan Pemerintahan Sistem Presidensial,” 831.</w:t>
      </w:r>
      <w:r w:rsidRPr="0024403F">
        <w:rPr>
          <w:rFonts w:asciiTheme="majorHAnsi" w:hAnsiTheme="majorHAnsi" w:cstheme="majorHAnsi"/>
          <w:sz w:val="18"/>
          <w:szCs w:val="18"/>
        </w:rPr>
        <w:fldChar w:fldCharType="end"/>
      </w:r>
    </w:p>
  </w:footnote>
  <w:footnote w:id="40">
    <w:p w14:paraId="54B60F78" w14:textId="48117BB0"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{"citationID":"7Q0c8H3a","properties":{"formattedCitation":"Jimly Asshidiqie, {\\i{}Perihal Undang-Undang}, 216.","plainCitation":"Jimly Asshidiqie, Perihal Undang-Undang, 216.","noteIndex":38},"citationItems":[{"id":212,"uris":["http://zotero.org/users/5443588/items/RWPU3EBL"],"itemData":{"id":212,"type":"book","event-place":"Jakarta","publisher":"Konstitusi Press","publisher-place":"Jakarta","title":"Perihal Undang-Undang","author":[{"family":"Jimly Asshidiqie","given":"Jimly Asshidiqie"}],"issued":{"date-parts":[["2006"]]}},"locator":"216"}],"schema":"https://github.com/citation-style-language/schema/raw/master/csl-citation.json"}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Jimly Asshidiqie, </w:t>
      </w:r>
      <w:r w:rsidR="00906279" w:rsidRPr="0024403F">
        <w:rPr>
          <w:rFonts w:asciiTheme="majorHAnsi" w:hAnsiTheme="majorHAnsi" w:cstheme="majorHAnsi"/>
          <w:i/>
          <w:iCs/>
          <w:sz w:val="18"/>
          <w:szCs w:val="18"/>
          <w:lang w:val="en-US"/>
        </w:rPr>
        <w:t>Perihal Undang-Undang</w:t>
      </w:r>
      <w:r w:rsidR="00906279" w:rsidRPr="0024403F">
        <w:rPr>
          <w:rFonts w:asciiTheme="majorHAnsi" w:hAnsiTheme="majorHAnsi" w:cstheme="majorHAnsi"/>
          <w:sz w:val="18"/>
          <w:szCs w:val="18"/>
          <w:lang w:val="en-US"/>
        </w:rPr>
        <w:t>, 216.</w:t>
      </w:r>
      <w:r w:rsidRPr="0024403F">
        <w:rPr>
          <w:rFonts w:asciiTheme="majorHAnsi" w:hAnsiTheme="majorHAnsi" w:cstheme="majorHAnsi"/>
          <w:sz w:val="18"/>
          <w:szCs w:val="18"/>
        </w:rPr>
        <w:fldChar w:fldCharType="end"/>
      </w:r>
    </w:p>
  </w:footnote>
  <w:footnote w:id="41">
    <w:p w14:paraId="677C461C" w14:textId="42F26C8F"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{"citationID":"9yjymqLl","properties":{"formattedCitation":"Ni\\uc0\\u8217{}matul Huda, {\\i{}Presiden dan Pembantu Presiden dalam Sistem Ketatanegaraan Indoenesia} (Yogyakarta: FH UII Press, 2019), 300.","plainCitation":"Ni’matul Huda, Presiden dan Pembantu Presiden dalam Sistem Ketatanegaraan Indoenesia (Yogyakarta: FH UII Press, 2019), 300.","noteIndex":39},"citationItems":[{"id":589,"uris":["http://zotero.org/users/5443588/items/PYH2Y79X"],"itemData":{"id":589,"type":"book","event-place":"Yogyakarta","publisher":"FH UII Press","publisher-place":"Yogyakarta","title":"Presiden dan Pembantu Presiden dalam Sistem Ketatanegaraan Indoenesia","author":[{"family":"","given":"Ni'matul Huda"}],"issued":{"date-parts":[["2019"]]}},"locator":"300"}],"schema":"https://github.com/citation-style-language/schema/raw/master/csl-citation.json"}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Ni’matul Huda, </w:t>
      </w:r>
      <w:r w:rsidR="00906279" w:rsidRPr="0024403F">
        <w:rPr>
          <w:rFonts w:asciiTheme="majorHAnsi" w:hAnsiTheme="majorHAnsi" w:cstheme="majorHAnsi"/>
          <w:i/>
          <w:iCs/>
          <w:sz w:val="18"/>
          <w:szCs w:val="18"/>
          <w:lang w:val="en-US"/>
        </w:rPr>
        <w:t>Presiden dan Pembantu Presiden dalam Sistem Ketatanegaraan Indoenesia</w:t>
      </w:r>
      <w:r w:rsidR="00906279" w:rsidRPr="0024403F">
        <w:rPr>
          <w:rFonts w:asciiTheme="majorHAnsi" w:hAnsiTheme="majorHAnsi" w:cstheme="majorHAnsi"/>
          <w:sz w:val="18"/>
          <w:szCs w:val="18"/>
          <w:lang w:val="en-US"/>
        </w:rPr>
        <w:t xml:space="preserve"> (Yogyakarta: FH UII Press, 2019), 300.</w:t>
      </w:r>
      <w:r w:rsidRPr="0024403F">
        <w:rPr>
          <w:rFonts w:asciiTheme="majorHAnsi" w:hAnsiTheme="majorHAnsi" w:cstheme="majorHAnsi"/>
          <w:sz w:val="18"/>
          <w:szCs w:val="18"/>
        </w:rPr>
        <w:fldChar w:fldCharType="end"/>
      </w:r>
    </w:p>
  </w:footnote>
  <w:footnote w:id="42">
    <w:p w14:paraId="6BDA9372" w14:textId="3CD1E632" w:rsidR="001F23FA" w:rsidRPr="0024403F" w:rsidRDefault="001F23FA"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{"citationID":"KF07BFgL","properties":{"formattedCitation":"Xavier Nugraha, Stefania Arshanty Felicia, dan Julienna Hartono, \\uc0\\u8220{}Public Participation in Constitutional Amendments with Deliberation Requirements in the Unamendability Framework: A Comparative Study,\\uc0\\u8221{} {\\i{}Mulawarman Law Review}, 22 Desember 2022, 102\\uc0\\u8211{}18, https://doi.org/10.30872/mulrev.v7i2.904; Diya Ul Akmal dan Dea Linta Arlianti, \\uc0\\u8220{}Dinamika Perlindungan Hak Konstitusional Warga Negara Dalam Implementasi Pengujian Undang-Undang Di Mahkamah Konstitusi,\\uc0\\u8221{} {\\i{}Mulawarman Law Review}, 30 Juni 2022, 49\\uc0\\u8211{}70, https://doi.org/10.30872/mulrev.v7i1.780.","plainCitation":"Xavier Nugraha, Stefania Arshanty Felicia, dan Julienna Hartono, “Public Participation in Constitutional Amendments with Deliberation Requirements in the Unamendability Framework: A Comparative Study,” Mulawarman Law Review, 22 Desember 2022, 102–18, https://doi.org/10.30872/mulrev.v7i2.904; Diya Ul Akmal dan Dea Linta Arlianti, “Dinamika Perlindungan Hak Konstitusional Warga Negara Dalam Implementasi Pengujian Undang-Undang Di Mahkamah Konstitusi,” Mulawarman Law Review, 30 Juni 2022, 49–70, https://doi.org/10.30872/mulrev.v7i1.780.","noteIndex":40},"citationItems":[{"id":1545,"uris":["http://zotero.org/users/5443588/items/BPAWP9WD"],"itemData":{"id":1545,"type":"article-journal","abstract":"From time to time, it is considered that Constitutional Amendments are lack of public participation and contains political aspects. Therefore, many nations regulate certain provisions to ensure that the Constitutional Amendments are merely for public order and welfare. One of the provision is the temporal unamendability. In the shape of deliberation requirements, which is essentially the involvement of the public in submitting constitutional amendments within a certain time limit. Indonesian Law doesn’t recognize the concept of deliberation requirements, therefore, the authors will analyze Sweden and South Korean Law, two countries that are also using civil law system and have regulated deliberation requirements in submitting constitutional amendments. This paper will discuss two problems: 1) the legal provisions for constitutional amendments in Indonesia, Sweden, and South Korea, and 2) the guarantee model for public participation in constitutional amendments using the deliberation requirements model. This paper uses legal research method, with a conceptual, statutory, and comparative approach. The results show that Sweden and South Korean Law have involved both the public and the Representative Body to determine wether constitutional amendment will be performed, meanwhile Indonesia hasn’t involve the public to vote for a constitutional amendments. Therefore, to guarantee public participation in constitutional amendments, the authors provide a model which include the public participation through vote or referendum to decide a constitutional amendments and a period of time to file for constitutional amendment.","container-title":"Mulawarman Law Review","DOI":"10.30872/mulrev.v7i2.904","ISSN":"2527-3485","language":"en","license":"Copyright (c) 2022 Mulawarman Law Review","page":"102-118","source":"e-journal.fh.unmul.ac.id","title":"Public Participation in Constitutional Amendments with Deliberation Requirements in the Unamendability Framework: A Comparative Study","title-short":"Public Participation in Constitutional Amendments with Deliberation Requirements in the Unamendability Framework","author":[{"family":"Nugraha","given":"Xavier"},{"family":"Felicia","given":"Stefania Arshanty"},{"family":"Hartono","given":"Julienna"}],"issued":{"date-parts":[["2022",12,22]]}}},{"id":1547,"uris":["http://zotero.org/users/5443588/items/79PD2GGW"],"itemData":{"id":1547,"type":"article-journal","abstract":"Dinamika ketatanegaraan yang terjadi saat ini menempatkan Hak Konstitusional harus terlanggar terlebih dahulu ketika disahkannya suatu Rancangan Undang-Undang. Hal ini mengakibatkan banyaknya terjadi demonstrasi yang dilakukan oleh berbagai elemen masyarakat. Mahkamah Konstitusi sebagai lembaga peradilan tidak dapat melakukan apa-apa dalam proses legislasi karena bukan kewenangannya. Meskipun begitu, Mahkamah Konstitusi sebagai the Guardian of Constitution memiliki kewajiban untuk melindungi Hak Konstitusional. Penelitian ini menggunakan pendekatan socio legal yang diperkuat dengan analisis data normatif. Data yang didapatkan dianalisis menggunakan metode analisis data kualitatif yaitu mendeskripsikan menggunakan kata-kata dengan logika ilmiah. Banyaknya jumlah pengujian Undang-Undang di Mahkamah Konstitusi menjadi penegasan besarnya harapan masyarakat. Perkembangan ketatanegaraan yang terjadi mengakibatkan kewenangan Mahkamah Konstitusi dirasa terbatas dalam melakukan pengujian Konstitusional. Hal ini dikarenakan penafsiran Mahkamah Konstitusi di Indonesia dalam melakukan pengujian Konstitusional hanya sebatas pengujian Undang-Undang. Sejatinya penafsiran pengujian Konstitusional juga mencakup kewenangan pengujian Rancangan Undang-Undang dan Constitutional Question yang saat ini belum menjadi kewenangan Mahkamah Konstitusi. Oleh karena itu, penambahan kewenangan Mahkamah Konstitusi menjadi urgensi untuk dapat melindungi Hak Konstitusional warga negara secara maksimal.","container-title":"Mulawarman Law Review","DOI":"10.30872/mulrev.v7i1.780","ISSN":"2527-3485","language":"en","license":"Copyright (c) 2022 Mulawarman Law Review","page":"49-70","source":"e-journal.fh.unmul.ac.id","title":"Dinamika Perlindungan Hak Konstitusional Warga Negara Dalam Implementasi Pengujian Undang-Undang di Mahkamah Konstitusi","author":[{"family":"Akmal","given":"Diya Ul"},{"family":"Arlianti","given":"Dea Linta"}],"issued":{"date-parts":[["2022",6,30]]}}}],"schema":"https://github.com/citation-style-language/schema/raw/master/csl-citation.json"} </w:instrText>
      </w:r>
      <w:r w:rsidRPr="0024403F">
        <w:rPr>
          <w:rFonts w:asciiTheme="majorHAnsi" w:hAnsiTheme="majorHAnsi" w:cstheme="majorHAnsi"/>
          <w:sz w:val="18"/>
          <w:szCs w:val="18"/>
        </w:rPr>
        <w:fldChar w:fldCharType="separate"/>
      </w:r>
      <w:r w:rsidR="007763A7" w:rsidRPr="0024403F">
        <w:rPr>
          <w:rFonts w:asciiTheme="majorHAnsi" w:hAnsiTheme="majorHAnsi" w:cstheme="majorHAnsi"/>
          <w:sz w:val="18"/>
          <w:szCs w:val="18"/>
          <w:lang w:val="en-US"/>
        </w:rPr>
        <w:t xml:space="preserve">Xavier Nugraha, Stefania Arshanty Felicia, dan Julienna Hartono, “Public Participation in Constitutional Amendments with Deliberation Requirements in the Unamendability Framework: A Comparative Study,” </w:t>
      </w:r>
      <w:r w:rsidR="007763A7" w:rsidRPr="0024403F">
        <w:rPr>
          <w:rFonts w:asciiTheme="majorHAnsi" w:hAnsiTheme="majorHAnsi" w:cstheme="majorHAnsi"/>
          <w:i/>
          <w:iCs/>
          <w:sz w:val="18"/>
          <w:szCs w:val="18"/>
          <w:lang w:val="en-US"/>
        </w:rPr>
        <w:t>Mulawarman Law Review</w:t>
      </w:r>
      <w:r w:rsidR="007763A7" w:rsidRPr="0024403F">
        <w:rPr>
          <w:rFonts w:asciiTheme="majorHAnsi" w:hAnsiTheme="majorHAnsi" w:cstheme="majorHAnsi"/>
          <w:sz w:val="18"/>
          <w:szCs w:val="18"/>
          <w:lang w:val="en-US"/>
        </w:rPr>
        <w:t xml:space="preserve">, 22 Desember 2022, 102–18, https://doi.org/10.30872/mulrev.v7i2.904; Diya Ul Akmal dan Dea Linta Arlianti, “Dinamika Perlindungan Hak Konstitusional Warga Negara Dalam Implementasi Pengujian Undang-Undang Di Mahkamah Konstitusi,” </w:t>
      </w:r>
      <w:r w:rsidR="007763A7" w:rsidRPr="0024403F">
        <w:rPr>
          <w:rFonts w:asciiTheme="majorHAnsi" w:hAnsiTheme="majorHAnsi" w:cstheme="majorHAnsi"/>
          <w:i/>
          <w:iCs/>
          <w:sz w:val="18"/>
          <w:szCs w:val="18"/>
          <w:lang w:val="en-US"/>
        </w:rPr>
        <w:t>Mulawarman Law Review</w:t>
      </w:r>
      <w:r w:rsidR="007763A7" w:rsidRPr="0024403F">
        <w:rPr>
          <w:rFonts w:asciiTheme="majorHAnsi" w:hAnsiTheme="majorHAnsi" w:cstheme="majorHAnsi"/>
          <w:sz w:val="18"/>
          <w:szCs w:val="18"/>
          <w:lang w:val="en-US"/>
        </w:rPr>
        <w:t>, 30 Juni 2022, 49–70, https://doi.org/10.30872/mulrev.v7i1.780.</w:t>
      </w:r>
      <w:r w:rsidRPr="0024403F">
        <w:rPr>
          <w:rFonts w:asciiTheme="majorHAnsi" w:hAnsiTheme="majorHAnsi" w:cstheme="majorHAnsi"/>
          <w:sz w:val="18"/>
          <w:szCs w:val="18"/>
        </w:rPr>
        <w:fldChar w:fldCharType="end"/>
      </w:r>
    </w:p>
  </w:footnote>
  <w:footnote w:id="43">
    <w:p w14:paraId="332D8C6B" w14:textId="32A01189"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{"citationID":"auK2H4jE","properties":{"formattedCitation":"S.F. Marbun, {\\i{}Hukum Administrasi Negara I} (Yogyakarta: FH UII Press, 2012), 72.","plainCitation":"S.F. Marbun, Hukum Administrasi Negara I (Yogyakarta: FH UII Press, 2012), 72.","noteIndex":41},"citationItems":[{"id":588,"uris":["http://zotero.org/users/5443588/items/Y42FWJQD"],"itemData":{"id":588,"type":"book","event-place":"Yogyakarta","publisher":"FH UII Press","publisher-place":"Yogyakarta","title":"Hukum Administrasi Negara I","author":[{"family":"","given":"S.F. Marbun"}],"issued":{"date-parts":[["2012"]]}},"locator":"72"}],"schema":"https://github.com/citation-style-language/schema/raw/master/csl-citation.json"}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 xml:space="preserve">S.F. Marbun, </w:t>
      </w:r>
      <w:r w:rsidR="00906279" w:rsidRPr="0024403F">
        <w:rPr>
          <w:rFonts w:asciiTheme="majorHAnsi" w:hAnsiTheme="majorHAnsi" w:cstheme="majorHAnsi"/>
          <w:i/>
          <w:iCs/>
          <w:sz w:val="18"/>
          <w:szCs w:val="18"/>
          <w:lang w:val="en-US"/>
        </w:rPr>
        <w:t>Hukum Administrasi Negara I</w:t>
      </w:r>
      <w:r w:rsidR="00906279" w:rsidRPr="0024403F">
        <w:rPr>
          <w:rFonts w:asciiTheme="majorHAnsi" w:hAnsiTheme="majorHAnsi" w:cstheme="majorHAnsi"/>
          <w:sz w:val="18"/>
          <w:szCs w:val="18"/>
          <w:lang w:val="en-US"/>
        </w:rPr>
        <w:t xml:space="preserve"> (Yogyakarta: FH UII Press, 2012), 72.</w:t>
      </w:r>
      <w:r w:rsidRPr="0024403F">
        <w:rPr>
          <w:rFonts w:asciiTheme="majorHAnsi" w:hAnsiTheme="majorHAnsi" w:cstheme="majorHAnsi"/>
          <w:sz w:val="18"/>
          <w:szCs w:val="18"/>
        </w:rPr>
        <w:fldChar w:fldCharType="end"/>
      </w:r>
    </w:p>
  </w:footnote>
  <w:footnote w:id="44">
    <w:p w14:paraId="7570A77B" w14:textId="1233CABB"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{"citationID":"TMtDGaU0","properties":{"formattedCitation":"{\\i{}Hukum Administrasi Negara}, 114.","plainCitation":"Hukum Administrasi Negara, 114.","noteIndex":42},"citationItems":[{"id":593,"uris":["http://zotero.org/users/5443588/items/8L7BV2I5"],"itemData":{"id":593,"type":"book","event-place":"Jakarta","publisher":"Rajawali Pers","publisher-place":"Jakarta","title":"Hukum Administrasi Negara","author":[{"family":"","given":"Ridwan HR"}],"issued":{"date-parts":[["2011"]]}},"locator":"114"}],"schema":"https://github.com/citation-style-language/schema/raw/master/csl-citation.json"}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i/>
          <w:iCs/>
          <w:sz w:val="18"/>
          <w:szCs w:val="18"/>
          <w:lang w:val="en-US"/>
        </w:rPr>
        <w:t>Hukum Administrasi Negara</w:t>
      </w:r>
      <w:r w:rsidR="00906279" w:rsidRPr="0024403F">
        <w:rPr>
          <w:rFonts w:asciiTheme="majorHAnsi" w:hAnsiTheme="majorHAnsi" w:cstheme="majorHAnsi"/>
          <w:sz w:val="18"/>
          <w:szCs w:val="18"/>
          <w:lang w:val="en-US"/>
        </w:rPr>
        <w:t>, 114.</w:t>
      </w:r>
      <w:r w:rsidRPr="0024403F">
        <w:rPr>
          <w:rFonts w:asciiTheme="majorHAnsi" w:hAnsiTheme="majorHAnsi" w:cstheme="majorHAnsi"/>
          <w:sz w:val="18"/>
          <w:szCs w:val="18"/>
        </w:rPr>
        <w:fldChar w:fldCharType="end"/>
      </w:r>
    </w:p>
  </w:footnote>
  <w:footnote w:id="45">
    <w:p w14:paraId="7DD605E0" w14:textId="36F014F1"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1F23FA" w:rsidRPr="0024403F">
        <w:rPr>
          <w:rFonts w:asciiTheme="majorHAnsi" w:hAnsiTheme="majorHAnsi" w:cstheme="majorHAnsi"/>
          <w:sz w:val="18"/>
          <w:szCs w:val="18"/>
        </w:rPr>
        <w:instrText xml:space="preserve"> ADDIN ZOTERO_ITEM CSL_CITATION {"citationID":"gFHNa8sC","properties":{"formattedCitation":"Ridwan, \\uc0\\u8220{}Eksistensi dan Urgensi Peraturan Menteri dalam Penyelenggaraan Pemerintahan Sistem Presidensial,\\uc0\\u8221{} 838.","plainCitation":"Ridwan, “Eksistensi dan Urgensi Peraturan Menteri dalam Penyelenggaraan Pemerintahan Sistem Presidensial,” 838.","noteIndex":43},"citationItems":[{"id":595,"uris":["http://zotero.org/users/5443588/items/UBVMFZNW"],"itemData":{"id":595,"type":"article-journal","abstract":"Tujuan penelitian ini untuk menganalisis keberadaan Peraturan Menteri dalam penyelenggaraan urusan pemerintahan. Penelitian ini merupakan penelitian normatif, dengan pendekatan undang-undang dan pendekatan konsep. Hasil penelitian ini menunjukan bahwa dalam sistem presidensial, kedudukan Menteri adalah sebagai pembantu Presiden, sehingga tidak dapat diberikan atribusi dari undang-undang untuk membuat Peraturan Menteri. Peraturan Menteri itu masih diperlukan dalam penyelenggaraan urusan pemerintahan, khususnya sebagai peraturan pelaksanaan dari Peraturan Pemerintah (PP) atau Peraturan Presiden (Perpres) untuk mengatur dan mengurus secara operasional bidang-bidang tertentu pada masing-masing kementerian. Bidang-bidang pemerintahan yang bersifat spesifik, tidak proporsional diatur dengan Perpres, apalagi dengan PP, karena PP itu memiliki makna khusus khusus sebagai peraturan pelaksanaan dari suatu undang-undang.","container-title":"Jurnal Konstitusi","DOI":"10.31078/jk1845","ISSN":"2548-1657","issue":"4","language":"id","license":"Copyright (c) 2022 Jurnal Konstitusi","note":"number: 4","page":"828-845","source":"jurnalkonstitusi.mkri.id","title":"Eksistensi dan Urgensi Peraturan Menteri dalam Penyelenggaraan Pemerintahan Sistem Presidensial","volume":"18","author":[{"family":"Ridwan","given":"Ridwan"}],"issued":{"date-parts":[["2022",2,17]]}},"locator":"838"}],"schema":"https://github.com/citation-style-language/schema/raw/master/csl-citation.json"}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Ridwan, “Eksistensi dan Urgensi Peraturan Menteri dalam Penyelenggaraan Pemerintahan Sistem Presidensial,” 838.</w:t>
      </w:r>
      <w:r w:rsidRPr="0024403F">
        <w:rPr>
          <w:rFonts w:asciiTheme="majorHAnsi" w:hAnsiTheme="majorHAnsi" w:cstheme="majorHAnsi"/>
          <w:sz w:val="18"/>
          <w:szCs w:val="18"/>
        </w:rPr>
        <w:fldChar w:fldCharType="end"/>
      </w:r>
    </w:p>
  </w:footnote>
  <w:footnote w:id="46">
    <w:p w14:paraId="16AC6DAB" w14:textId="0DABD203"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{"citationID":"sL4dl5rE","properties":{"formattedCitation":"Huda, \\uc0\\u8220{}Kedudukan Dan Materi Muatan Peraturan Menteri Dalam Perspektif Sistem Presidensial,\\uc0\\u8221{} 562.","plainCitation":"Huda, “Kedudukan Dan Materi Muatan Peraturan Menteri Dalam Perspektif Sistem Presidensial,” 562.","noteIndex":44},"citationItems":[{"id":598,"uris":["http://zotero.org/users/5443588/items/2FYD2XNH"],"itemData":{"id":598,"type":"article-journal","abstract":"The obesity of regulations at the central and regional levels lead to problems in structuring legislation. The various ministerial regulations make it difficult for local governments to follow up. The problems studied in this research are first, what is the position and content of ministerial regulations in the perspective of legislation and the presidential system in Indonesia? Second, how to avoid obesity in the formation of ministerial regulations in the administration of government? The two problems will be analyzed in descriptive-qualitative manner, using statutory and conceptual approaches. The results of this study conclude that first, ministerial regulations are essentially not included in the hierarchy of laws and regulations, yet they can be issued by the minister as long as there is an authority or order from a higher law to regulate it and only applies internally for the benefit of the present institution. However, the ministers in the presidential system are not responsible to the parliament but to the president, hence the right person to stipulate the laws and regulations should be the president; second, to avoid the occurrence of obesity in the formation of ministerial regulations, the president only needs to form a Government Regulation or Presidential Regulation, and does not need to delegate it to the minister to form implementing regulations.","container-title":"Jurnal Hukum IUS QUIA IUSTUM","DOI":"10.20885/iustum.vol28.iss3.art5","ISSN":"2527-502X","issue":"3","journalAbbreviation":"Iustum","language":"en","license":"Copyright (c) 2021 Jurnal Hukum IUS QUIA IUSTUM","note":"number: 3","page":"550-571","source":"journal.uii.ac.id","title":"Kedudukan Dan Materi Muatan Peraturan Menteri Dalam Perspektif Sistem Presidensial","volume":"28","author":[{"family":"Huda","given":"Ni'matul"}],"issued":{"date-parts":[["2021",8,25]]}},"locator":"562"}],"schema":"https://github.com/citation-style-language/schema/raw/master/csl-citation.json"}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Huda, “Kedudukan Dan Materi Muatan Peraturan Menteri Dalam Perspektif Sistem Presidensial,” 562.</w:t>
      </w:r>
      <w:r w:rsidRPr="0024403F">
        <w:rPr>
          <w:rFonts w:asciiTheme="majorHAnsi" w:hAnsiTheme="majorHAnsi" w:cstheme="majorHAnsi"/>
          <w:sz w:val="18"/>
          <w:szCs w:val="18"/>
        </w:rPr>
        <w:fldChar w:fldCharType="end"/>
      </w:r>
    </w:p>
  </w:footnote>
  <w:footnote w:id="47">
    <w:p w14:paraId="6FF8065F" w14:textId="76E225E5"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{"citationID":"hLrMAbYe","properties":{"formattedCitation":"Ridwan, \\uc0\\u8220{}Eksistensi dan Urgensi Peraturan Menteri dalam Penyelenggaraan Pemerintahan Sistem Presidensial,\\uc0\\u8221{} 841.","plainCitation":"Ridwan, “Eksistensi dan Urgensi Peraturan Menteri dalam Penyelenggaraan Pemerintahan Sistem Presidensial,” 841.","noteIndex":45},"citationItems":[{"id":595,"uris":["http://zotero.org/users/5443588/items/UBVMFZNW"],"itemData":{"id":595,"type":"article-journal","abstract":"Tujuan penelitian ini untuk menganalisis keberadaan Peraturan Menteri dalam penyelenggaraan urusan pemerintahan. Penelitian ini merupakan penelitian normatif, dengan pendekatan undang-undang dan pendekatan konsep. Hasil penelitian ini menunjukan bahwa dalam sistem presidensial, kedudukan Menteri adalah sebagai pembantu Presiden, sehingga tidak dapat diberikan atribusi dari undang-undang untuk membuat Peraturan Menteri. Peraturan Menteri itu masih diperlukan dalam penyelenggaraan urusan pemerintahan, khususnya sebagai peraturan pelaksanaan dari Peraturan Pemerintah (PP) atau Peraturan Presiden (Perpres) untuk mengatur dan mengurus secara operasional bidang-bidang tertentu pada masing-masing kementerian. Bidang-bidang pemerintahan yang bersifat spesifik, tidak proporsional diatur dengan Perpres, apalagi dengan PP, karena PP itu memiliki makna khusus khusus sebagai peraturan pelaksanaan dari suatu undang-undang.","container-title":"Jurnal Konstitusi","DOI":"10.31078/jk1845","ISSN":"2548-1657","issue":"4","language":"id","license":"Copyright (c) 2022 Jurnal Konstitusi","note":"number: 4","page":"828-845","source":"jurnalkonstitusi.mkri.id","title":"Eksistensi dan Urgensi Peraturan Menteri dalam Penyelenggaraan Pemerintahan Sistem Presidensial","volume":"18","author":[{"family":"Ridwan","given":"Ridwan"}],"issued":{"date-parts":[["2022",2,17]]}},"locator":"841"}],"schema":"https://github.com/citation-style-language/schema/raw/master/csl-citation.json"}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Ridwan, “Eksistensi dan Urgensi Peraturan Menteri dalam Penyelenggaraan Pemerintahan Sistem Presidensial,” 841.</w:t>
      </w:r>
      <w:r w:rsidRPr="0024403F">
        <w:rPr>
          <w:rFonts w:asciiTheme="majorHAnsi" w:hAnsiTheme="majorHAnsi" w:cstheme="majorHAnsi"/>
          <w:sz w:val="18"/>
          <w:szCs w:val="18"/>
        </w:rPr>
        <w:fldChar w:fldCharType="end"/>
      </w:r>
    </w:p>
  </w:footnote>
  <w:footnote w:id="48">
    <w:p w14:paraId="19194EC5" w14:textId="22653084" w:rsidR="00D40285" w:rsidRPr="0024403F" w:rsidRDefault="00D40285" w:rsidP="00CE0A71">
      <w:pPr>
        <w:pStyle w:val="FootnoteText"/>
        <w:ind w:firstLine="567"/>
        <w:jc w:val="both"/>
        <w:rPr>
          <w:rFonts w:asciiTheme="majorHAnsi" w:hAnsiTheme="majorHAnsi" w:cstheme="majorHAnsi"/>
          <w:sz w:val="18"/>
          <w:szCs w:val="18"/>
          <w:lang w:val="en-US"/>
        </w:rPr>
      </w:pPr>
      <w:r w:rsidRPr="0024403F">
        <w:rPr>
          <w:rStyle w:val="FootnoteReference"/>
          <w:rFonts w:asciiTheme="majorHAnsi" w:hAnsiTheme="majorHAnsi" w:cstheme="majorHAnsi"/>
          <w:sz w:val="18"/>
          <w:szCs w:val="18"/>
        </w:rPr>
        <w:footnoteRef/>
      </w:r>
      <w:r w:rsidRPr="0024403F">
        <w:rPr>
          <w:rFonts w:asciiTheme="majorHAnsi" w:hAnsiTheme="majorHAnsi" w:cstheme="majorHAnsi"/>
          <w:sz w:val="18"/>
          <w:szCs w:val="18"/>
        </w:rPr>
        <w:t xml:space="preserve"> </w:t>
      </w:r>
      <w:r w:rsidRPr="0024403F">
        <w:rPr>
          <w:rFonts w:asciiTheme="majorHAnsi" w:hAnsiTheme="majorHAnsi" w:cstheme="majorHAnsi"/>
          <w:sz w:val="18"/>
          <w:szCs w:val="18"/>
        </w:rPr>
        <w:fldChar w:fldCharType="begin"/>
      </w:r>
      <w:r w:rsidR="007763A7" w:rsidRPr="0024403F">
        <w:rPr>
          <w:rFonts w:asciiTheme="majorHAnsi" w:hAnsiTheme="majorHAnsi" w:cstheme="majorHAnsi"/>
          <w:sz w:val="18"/>
          <w:szCs w:val="18"/>
        </w:rPr>
        <w:instrText xml:space="preserve"> ADDIN ZOTERO_ITEM CSL_CITATION {"citationID":"rbFItr0x","properties":{"formattedCitation":"\\uc0\\u8220{}Merampingkan Regulasi.\\uc0\\u8221{}","plainCitation":"“Merampingkan Regulasi.”","noteIndex":46},"citationItems":[{"id":590,"uris":["http://zotero.org/users/5443588/items/KJPIL8A4"],"itemData":{"id":590,"type":"webpage","container-title":"kompas.id","language":"id","title":"Merampingkan Regulasi","URL":"https://www.kompas.id/baca/opini/2017/03/13/merampingkan-regulasi","author":[{"family":"","given":"Saldi Isra"}],"accessed":{"date-parts":[["2022",4,24]]},"issued":{"date-parts":[["2017",3,13]]}}}],"schema":"https://github.com/citation-style-language/schema/raw/master/csl-citation.json"} </w:instrText>
      </w:r>
      <w:r w:rsidRPr="0024403F">
        <w:rPr>
          <w:rFonts w:asciiTheme="majorHAnsi" w:hAnsiTheme="majorHAnsi" w:cstheme="majorHAnsi"/>
          <w:sz w:val="18"/>
          <w:szCs w:val="18"/>
        </w:rPr>
        <w:fldChar w:fldCharType="separate"/>
      </w:r>
      <w:r w:rsidR="00906279" w:rsidRPr="0024403F">
        <w:rPr>
          <w:rFonts w:asciiTheme="majorHAnsi" w:hAnsiTheme="majorHAnsi" w:cstheme="majorHAnsi"/>
          <w:sz w:val="18"/>
          <w:szCs w:val="18"/>
          <w:lang w:val="en-US"/>
        </w:rPr>
        <w:t>“Merampingkan Regulasi.”</w:t>
      </w:r>
      <w:r w:rsidRPr="0024403F">
        <w:rPr>
          <w:rFonts w:asciiTheme="majorHAnsi" w:hAnsiTheme="majorHAnsi" w:cstheme="majorHAnsi"/>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DAD" w14:textId="77777777" w:rsidR="00E518E6" w:rsidRDefault="006E45B0">
    <w:pPr>
      <w:pBdr>
        <w:top w:val="nil"/>
        <w:left w:val="nil"/>
        <w:bottom w:val="nil"/>
        <w:right w:val="nil"/>
        <w:between w:val="nil"/>
      </w:pBdr>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b/>
        <w:i/>
        <w:color w:val="000000"/>
        <w:sz w:val="20"/>
        <w:szCs w:val="20"/>
      </w:rPr>
      <w:t>Mulawarman Law Review</w:t>
    </w:r>
  </w:p>
  <w:p w14:paraId="6DC65784" w14:textId="46837FFA" w:rsidR="00E518E6" w:rsidRDefault="006E45B0">
    <w:pPr>
      <w:pBdr>
        <w:top w:val="nil"/>
        <w:left w:val="nil"/>
        <w:bottom w:val="nil"/>
        <w:right w:val="nil"/>
        <w:between w:val="nil"/>
      </w:pBdr>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Vol. </w:t>
    </w:r>
    <w:r w:rsidR="003007FD">
      <w:rPr>
        <w:rFonts w:ascii="Book Antiqua" w:eastAsia="Book Antiqua" w:hAnsi="Book Antiqua" w:cs="Book Antiqua"/>
        <w:i/>
        <w:color w:val="000000"/>
        <w:sz w:val="20"/>
        <w:szCs w:val="20"/>
      </w:rPr>
      <w:t>8</w:t>
    </w:r>
    <w:r>
      <w:rPr>
        <w:rFonts w:ascii="Book Antiqua" w:eastAsia="Book Antiqua" w:hAnsi="Book Antiqua" w:cs="Book Antiqua"/>
        <w:i/>
        <w:color w:val="000000"/>
        <w:sz w:val="20"/>
        <w:szCs w:val="20"/>
      </w:rPr>
      <w:t xml:space="preserve"> Issue 1 (202</w:t>
    </w:r>
    <w:r w:rsidR="003007FD">
      <w:rPr>
        <w:rFonts w:ascii="Book Antiqua" w:eastAsia="Book Antiqua" w:hAnsi="Book Antiqua" w:cs="Book Antiqua"/>
        <w:i/>
        <w:color w:val="000000"/>
        <w:sz w:val="20"/>
        <w:szCs w:val="20"/>
      </w:rPr>
      <w:t>3</w:t>
    </w:r>
    <w:r>
      <w:rPr>
        <w:rFonts w:ascii="Book Antiqua" w:eastAsia="Book Antiqua" w:hAnsi="Book Antiqua" w:cs="Book Antiqua"/>
        <w:i/>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880D" w14:textId="77777777" w:rsidR="00E518E6" w:rsidRDefault="006E45B0">
    <w:pPr>
      <w:pBdr>
        <w:top w:val="nil"/>
        <w:left w:val="nil"/>
        <w:bottom w:val="nil"/>
        <w:right w:val="nil"/>
        <w:between w:val="nil"/>
      </w:pBdr>
      <w:spacing w:after="0" w:line="240" w:lineRule="auto"/>
      <w:rPr>
        <w:color w:val="000000"/>
      </w:rPr>
    </w:pPr>
    <w:r>
      <w:rPr>
        <w:rFonts w:ascii="Book Antiqua" w:eastAsia="Book Antiqua" w:hAnsi="Book Antiqua" w:cs="Book Antiqua"/>
        <w:b/>
        <w:i/>
        <w:color w:val="000000"/>
        <w:sz w:val="20"/>
        <w:szCs w:val="20"/>
      </w:rPr>
      <w:t xml:space="preserve">P-ISSN: </w:t>
    </w:r>
    <w:r>
      <w:rPr>
        <w:rFonts w:ascii="Book Antiqua" w:eastAsia="Book Antiqua" w:hAnsi="Book Antiqua" w:cs="Book Antiqua"/>
        <w:i/>
        <w:color w:val="000000"/>
        <w:sz w:val="20"/>
        <w:szCs w:val="20"/>
      </w:rPr>
      <w:t>2527-3477,</w:t>
    </w:r>
    <w:r>
      <w:rPr>
        <w:rFonts w:ascii="Book Antiqua" w:eastAsia="Book Antiqua" w:hAnsi="Book Antiqua" w:cs="Book Antiqua"/>
        <w:b/>
        <w:i/>
        <w:color w:val="000000"/>
        <w:sz w:val="20"/>
        <w:szCs w:val="20"/>
      </w:rPr>
      <w:t xml:space="preserve"> E-ISSN: </w:t>
    </w:r>
    <w:r>
      <w:rPr>
        <w:rFonts w:ascii="Book Antiqua" w:eastAsia="Book Antiqua" w:hAnsi="Book Antiqua" w:cs="Book Antiqua"/>
        <w:i/>
        <w:color w:val="000000"/>
        <w:sz w:val="20"/>
        <w:szCs w:val="20"/>
      </w:rPr>
      <w:t>2527-3485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FE52" w14:textId="4183DC18" w:rsidR="00E518E6" w:rsidRDefault="00913EEA">
    <w:pPr>
      <w:pBdr>
        <w:top w:val="nil"/>
        <w:left w:val="nil"/>
        <w:bottom w:val="single" w:sz="12" w:space="3" w:color="000000"/>
        <w:right w:val="nil"/>
        <w:between w:val="nil"/>
      </w:pBdr>
      <w:spacing w:after="0" w:line="240" w:lineRule="auto"/>
      <w:jc w:val="right"/>
      <w:rPr>
        <w:rFonts w:ascii="Cambria" w:eastAsia="Cambria" w:hAnsi="Cambria" w:cs="Cambria"/>
        <w:color w:val="B00000"/>
        <w:sz w:val="72"/>
        <w:szCs w:val="72"/>
      </w:rPr>
    </w:pPr>
    <w:bookmarkStart w:id="6" w:name="_30j0zll" w:colFirst="0" w:colLast="0"/>
    <w:bookmarkEnd w:id="6"/>
    <w:r>
      <w:rPr>
        <w:noProof/>
      </w:rPr>
      <w:drawing>
        <wp:anchor distT="0" distB="0" distL="114300" distR="114300" simplePos="0" relativeHeight="251658240" behindDoc="0" locked="0" layoutInCell="1" hidden="0" allowOverlap="1" wp14:anchorId="361CD2C5" wp14:editId="25FF9AC7">
          <wp:simplePos x="0" y="0"/>
          <wp:positionH relativeFrom="column">
            <wp:posOffset>-18415</wp:posOffset>
          </wp:positionH>
          <wp:positionV relativeFrom="paragraph">
            <wp:posOffset>-227965</wp:posOffset>
          </wp:positionV>
          <wp:extent cx="953135" cy="13589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3135" cy="1358900"/>
                  </a:xfrm>
                  <a:prstGeom prst="rect">
                    <a:avLst/>
                  </a:prstGeom>
                  <a:ln/>
                </pic:spPr>
              </pic:pic>
            </a:graphicData>
          </a:graphic>
        </wp:anchor>
      </w:drawing>
    </w:r>
    <w:r w:rsidR="006E45B0">
      <w:rPr>
        <w:rFonts w:ascii="Times New Roman" w:eastAsia="Times New Roman" w:hAnsi="Times New Roman" w:cs="Times New Roman"/>
        <w:color w:val="000000"/>
        <w:sz w:val="56"/>
        <w:szCs w:val="56"/>
      </w:rPr>
      <w:t>Mulawarman</w:t>
    </w:r>
    <w:r w:rsidR="006E45B0">
      <w:rPr>
        <w:rFonts w:ascii="Lustria" w:eastAsia="Lustria" w:hAnsi="Lustria" w:cs="Lustria"/>
        <w:color w:val="006600"/>
        <w:sz w:val="72"/>
        <w:szCs w:val="72"/>
      </w:rPr>
      <w:t>LawReview</w:t>
    </w:r>
    <w:r w:rsidR="006E45B0">
      <w:rPr>
        <w:rFonts w:ascii="Times New Roman" w:eastAsia="Times New Roman" w:hAnsi="Times New Roman" w:cs="Times New Roman"/>
        <w:color w:val="000000"/>
        <w:sz w:val="56"/>
        <w:szCs w:val="56"/>
      </w:rPr>
      <w:t xml:space="preserve"> </w:t>
    </w:r>
  </w:p>
  <w:p w14:paraId="41343747" w14:textId="4868E47A" w:rsidR="00E518E6" w:rsidRDefault="006E45B0">
    <w:pPr>
      <w:pBdr>
        <w:top w:val="nil"/>
        <w:left w:val="nil"/>
        <w:bottom w:val="single" w:sz="12" w:space="3" w:color="000000"/>
        <w:right w:val="nil"/>
        <w:between w:val="nil"/>
      </w:pBdr>
      <w:spacing w:after="0" w:line="240" w:lineRule="auto"/>
      <w:jc w:val="right"/>
      <w:rPr>
        <w:b/>
        <w:color w:val="006600"/>
        <w:sz w:val="26"/>
        <w:szCs w:val="26"/>
      </w:rPr>
    </w:pPr>
    <w:r>
      <w:rPr>
        <w:b/>
        <w:color w:val="006600"/>
        <w:sz w:val="26"/>
        <w:szCs w:val="26"/>
      </w:rPr>
      <w:t xml:space="preserve">Volume </w:t>
    </w:r>
    <w:r w:rsidR="00913EEA">
      <w:rPr>
        <w:b/>
        <w:color w:val="006600"/>
        <w:sz w:val="26"/>
        <w:szCs w:val="26"/>
      </w:rPr>
      <w:t>8</w:t>
    </w:r>
    <w:r>
      <w:rPr>
        <w:b/>
        <w:color w:val="006600"/>
        <w:sz w:val="26"/>
        <w:szCs w:val="26"/>
      </w:rPr>
      <w:t xml:space="preserve"> Issue </w:t>
    </w:r>
    <w:r w:rsidR="00913EEA">
      <w:rPr>
        <w:b/>
        <w:color w:val="006600"/>
        <w:sz w:val="26"/>
        <w:szCs w:val="26"/>
      </w:rPr>
      <w:t>1</w:t>
    </w:r>
    <w:r>
      <w:rPr>
        <w:b/>
        <w:color w:val="006600"/>
        <w:sz w:val="26"/>
        <w:szCs w:val="26"/>
      </w:rPr>
      <w:t xml:space="preserve">, </w:t>
    </w:r>
    <w:r w:rsidR="00913EEA">
      <w:rPr>
        <w:b/>
        <w:color w:val="006600"/>
        <w:sz w:val="26"/>
        <w:szCs w:val="26"/>
      </w:rPr>
      <w:t>June</w:t>
    </w:r>
    <w:r>
      <w:rPr>
        <w:b/>
        <w:color w:val="006600"/>
        <w:sz w:val="26"/>
        <w:szCs w:val="26"/>
      </w:rPr>
      <w:t xml:space="preserve"> </w:t>
    </w:r>
    <w:r w:rsidR="00913EEA">
      <w:rPr>
        <w:b/>
        <w:color w:val="006600"/>
        <w:sz w:val="26"/>
        <w:szCs w:val="26"/>
      </w:rPr>
      <w:t>2023</w:t>
    </w:r>
  </w:p>
  <w:p w14:paraId="0B396E12" w14:textId="77777777" w:rsidR="00E518E6" w:rsidRDefault="006E45B0">
    <w:pPr>
      <w:pBdr>
        <w:top w:val="nil"/>
        <w:left w:val="nil"/>
        <w:bottom w:val="single" w:sz="12" w:space="3" w:color="000000"/>
        <w:right w:val="nil"/>
        <w:between w:val="nil"/>
      </w:pBdr>
      <w:spacing w:after="0" w:line="240" w:lineRule="auto"/>
      <w:jc w:val="right"/>
      <w:rPr>
        <w:rFonts w:ascii="Cambria" w:eastAsia="Cambria" w:hAnsi="Cambria" w:cs="Cambria"/>
        <w:color w:val="000000"/>
      </w:rPr>
    </w:pPr>
    <w:r>
      <w:rPr>
        <w:rFonts w:ascii="Cambria" w:eastAsia="Cambria" w:hAnsi="Cambria" w:cs="Cambria"/>
        <w:color w:val="000000"/>
      </w:rPr>
      <w:t>ISSN Print: 2527-34</w:t>
    </w:r>
    <w:r>
      <w:rPr>
        <w:rFonts w:ascii="Cambria" w:eastAsia="Cambria" w:hAnsi="Cambria" w:cs="Cambria"/>
      </w:rPr>
      <w:t>77</w:t>
    </w:r>
    <w:r>
      <w:rPr>
        <w:rFonts w:ascii="Cambria" w:eastAsia="Cambria" w:hAnsi="Cambria" w:cs="Cambria"/>
        <w:color w:val="000000"/>
      </w:rPr>
      <w:t>, ISSN Online: 2527-34</w:t>
    </w:r>
    <w:r>
      <w:rPr>
        <w:rFonts w:ascii="Cambria" w:eastAsia="Cambria" w:hAnsi="Cambria" w:cs="Cambria"/>
      </w:rPr>
      <w:t>85</w:t>
    </w:r>
  </w:p>
  <w:p w14:paraId="2908FA2D" w14:textId="5612FCE1" w:rsidR="00E518E6" w:rsidRPr="00913EEA" w:rsidRDefault="006E45B0" w:rsidP="00913EEA">
    <w:pPr>
      <w:pBdr>
        <w:top w:val="nil"/>
        <w:left w:val="nil"/>
        <w:bottom w:val="single" w:sz="4" w:space="1" w:color="000000"/>
        <w:right w:val="nil"/>
        <w:between w:val="nil"/>
      </w:pBdr>
      <w:spacing w:after="480" w:line="240" w:lineRule="auto"/>
      <w:jc w:val="right"/>
      <w:rPr>
        <w:rFonts w:ascii="Cambria" w:eastAsia="Cambria" w:hAnsi="Cambria" w:cs="Cambria"/>
        <w:color w:val="000000"/>
        <w:sz w:val="18"/>
        <w:szCs w:val="18"/>
      </w:rPr>
    </w:pPr>
    <w:r>
      <w:rPr>
        <w:rFonts w:ascii="Cambria" w:eastAsia="Cambria" w:hAnsi="Cambria" w:cs="Cambria"/>
        <w:i/>
        <w:color w:val="000000"/>
        <w:sz w:val="18"/>
        <w:szCs w:val="18"/>
      </w:rPr>
      <w:t xml:space="preserve">Publisher: </w:t>
    </w:r>
    <w:r>
      <w:rPr>
        <w:rFonts w:ascii="Cambria" w:eastAsia="Cambria" w:hAnsi="Cambria" w:cs="Cambria"/>
        <w:b/>
        <w:i/>
        <w:color w:val="000000"/>
        <w:sz w:val="18"/>
        <w:szCs w:val="18"/>
      </w:rPr>
      <w:t>Faculty of Law, Mulawarman University, Indonesia.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F2232"/>
    <w:multiLevelType w:val="hybridMultilevel"/>
    <w:tmpl w:val="65ACD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354BF"/>
    <w:multiLevelType w:val="hybridMultilevel"/>
    <w:tmpl w:val="B910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A3C2B"/>
    <w:multiLevelType w:val="hybridMultilevel"/>
    <w:tmpl w:val="F30EF264"/>
    <w:lvl w:ilvl="0" w:tplc="A76EB6B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021220">
    <w:abstractNumId w:val="0"/>
  </w:num>
  <w:num w:numId="2" w16cid:durableId="2057241772">
    <w:abstractNumId w:val="2"/>
  </w:num>
  <w:num w:numId="3" w16cid:durableId="107901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E6"/>
    <w:rsid w:val="00007C91"/>
    <w:rsid w:val="00040AAF"/>
    <w:rsid w:val="0007074F"/>
    <w:rsid w:val="000A2C7B"/>
    <w:rsid w:val="000C5F8D"/>
    <w:rsid w:val="0010106A"/>
    <w:rsid w:val="001022D9"/>
    <w:rsid w:val="00133502"/>
    <w:rsid w:val="00144B90"/>
    <w:rsid w:val="001D21A5"/>
    <w:rsid w:val="001F23FA"/>
    <w:rsid w:val="00207694"/>
    <w:rsid w:val="0024403F"/>
    <w:rsid w:val="002559A1"/>
    <w:rsid w:val="00262F8D"/>
    <w:rsid w:val="00271AC9"/>
    <w:rsid w:val="002B432B"/>
    <w:rsid w:val="002C0CC5"/>
    <w:rsid w:val="002C0DCC"/>
    <w:rsid w:val="002C12E9"/>
    <w:rsid w:val="002C32D8"/>
    <w:rsid w:val="002D1B0B"/>
    <w:rsid w:val="002D4DB4"/>
    <w:rsid w:val="002E1B9D"/>
    <w:rsid w:val="003007FD"/>
    <w:rsid w:val="00390A62"/>
    <w:rsid w:val="003B1976"/>
    <w:rsid w:val="003D6B33"/>
    <w:rsid w:val="003E6A55"/>
    <w:rsid w:val="00402CA4"/>
    <w:rsid w:val="00423C1F"/>
    <w:rsid w:val="0044645F"/>
    <w:rsid w:val="0049507D"/>
    <w:rsid w:val="004B6249"/>
    <w:rsid w:val="005377F5"/>
    <w:rsid w:val="005402D3"/>
    <w:rsid w:val="0056152F"/>
    <w:rsid w:val="0057687F"/>
    <w:rsid w:val="00576DA9"/>
    <w:rsid w:val="005A30E3"/>
    <w:rsid w:val="005C2C7C"/>
    <w:rsid w:val="005F71D9"/>
    <w:rsid w:val="006006DE"/>
    <w:rsid w:val="00603396"/>
    <w:rsid w:val="00603C42"/>
    <w:rsid w:val="00616E67"/>
    <w:rsid w:val="0062228D"/>
    <w:rsid w:val="00627FF6"/>
    <w:rsid w:val="00672EF1"/>
    <w:rsid w:val="00681A42"/>
    <w:rsid w:val="006B0CF7"/>
    <w:rsid w:val="006B67E1"/>
    <w:rsid w:val="006C2DA4"/>
    <w:rsid w:val="006C4206"/>
    <w:rsid w:val="006D7FBC"/>
    <w:rsid w:val="006E027B"/>
    <w:rsid w:val="006E45B0"/>
    <w:rsid w:val="00743055"/>
    <w:rsid w:val="007763A7"/>
    <w:rsid w:val="00787105"/>
    <w:rsid w:val="007C4BE3"/>
    <w:rsid w:val="007E24D4"/>
    <w:rsid w:val="007F12A1"/>
    <w:rsid w:val="007F324A"/>
    <w:rsid w:val="007F7FAF"/>
    <w:rsid w:val="008131E2"/>
    <w:rsid w:val="0081402B"/>
    <w:rsid w:val="0082757A"/>
    <w:rsid w:val="00856BF1"/>
    <w:rsid w:val="008802FE"/>
    <w:rsid w:val="008A789A"/>
    <w:rsid w:val="008D2472"/>
    <w:rsid w:val="008E30AB"/>
    <w:rsid w:val="008E6539"/>
    <w:rsid w:val="00906279"/>
    <w:rsid w:val="00913EEA"/>
    <w:rsid w:val="009229E8"/>
    <w:rsid w:val="00932CF9"/>
    <w:rsid w:val="009456D0"/>
    <w:rsid w:val="009673C3"/>
    <w:rsid w:val="009712CF"/>
    <w:rsid w:val="00971524"/>
    <w:rsid w:val="00986891"/>
    <w:rsid w:val="009A1C9E"/>
    <w:rsid w:val="009A7697"/>
    <w:rsid w:val="009D019F"/>
    <w:rsid w:val="009E4A22"/>
    <w:rsid w:val="009E7907"/>
    <w:rsid w:val="00A1125D"/>
    <w:rsid w:val="00A54A6F"/>
    <w:rsid w:val="00A6632D"/>
    <w:rsid w:val="00A66C45"/>
    <w:rsid w:val="00A8028B"/>
    <w:rsid w:val="00A85185"/>
    <w:rsid w:val="00A91F1C"/>
    <w:rsid w:val="00AC6209"/>
    <w:rsid w:val="00AC77CE"/>
    <w:rsid w:val="00B11ED9"/>
    <w:rsid w:val="00B835E7"/>
    <w:rsid w:val="00BD0A5E"/>
    <w:rsid w:val="00BE4C96"/>
    <w:rsid w:val="00C12E94"/>
    <w:rsid w:val="00CC2758"/>
    <w:rsid w:val="00CC2A83"/>
    <w:rsid w:val="00CE0A71"/>
    <w:rsid w:val="00CE6542"/>
    <w:rsid w:val="00D00FC5"/>
    <w:rsid w:val="00D04915"/>
    <w:rsid w:val="00D342B5"/>
    <w:rsid w:val="00D40285"/>
    <w:rsid w:val="00D659D1"/>
    <w:rsid w:val="00D859E7"/>
    <w:rsid w:val="00E17418"/>
    <w:rsid w:val="00E518B6"/>
    <w:rsid w:val="00E518E6"/>
    <w:rsid w:val="00E55662"/>
    <w:rsid w:val="00E620FD"/>
    <w:rsid w:val="00E831A9"/>
    <w:rsid w:val="00EC509A"/>
    <w:rsid w:val="00ED2901"/>
    <w:rsid w:val="00EE0D6F"/>
    <w:rsid w:val="00EF251B"/>
    <w:rsid w:val="00F15680"/>
    <w:rsid w:val="00F224B4"/>
    <w:rsid w:val="00F3511F"/>
    <w:rsid w:val="00F36B56"/>
    <w:rsid w:val="00F8744F"/>
    <w:rsid w:val="00FA4CC0"/>
    <w:rsid w:val="00FB0D47"/>
    <w:rsid w:val="00FB477D"/>
    <w:rsid w:val="00FF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17D77"/>
  <w15:docId w15:val="{EAE4A0B1-0D78-4A5F-A5F3-A6B0190C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color w:val="006600"/>
      <w:sz w:val="24"/>
      <w:szCs w:val="24"/>
    </w:rPr>
  </w:style>
  <w:style w:type="paragraph" w:styleId="Heading2">
    <w:name w:val="heading 2"/>
    <w:basedOn w:val="Normal"/>
    <w:next w:val="Normal"/>
    <w:uiPriority w:val="9"/>
    <w:unhideWhenUsed/>
    <w:qFormat/>
    <w:pPr>
      <w:keepNext/>
      <w:keepLines/>
      <w:spacing w:after="120" w:line="240" w:lineRule="auto"/>
      <w:jc w:val="both"/>
      <w:outlineLvl w:val="1"/>
    </w:pPr>
    <w:rPr>
      <w:b/>
      <w:color w:val="006600"/>
      <w:sz w:val="24"/>
      <w:szCs w:val="24"/>
    </w:rPr>
  </w:style>
  <w:style w:type="paragraph" w:styleId="Heading3">
    <w:name w:val="heading 3"/>
    <w:basedOn w:val="Normal"/>
    <w:next w:val="Normal"/>
    <w:uiPriority w:val="9"/>
    <w:unhideWhenUsed/>
    <w:qFormat/>
    <w:pPr>
      <w:keepNext/>
      <w:keepLines/>
      <w:spacing w:after="120" w:line="240" w:lineRule="auto"/>
      <w:jc w:val="both"/>
      <w:outlineLvl w:val="2"/>
    </w:pPr>
    <w:rPr>
      <w:color w:val="006600"/>
      <w:sz w:val="24"/>
      <w:szCs w:val="24"/>
    </w:rPr>
  </w:style>
  <w:style w:type="paragraph" w:styleId="Heading4">
    <w:name w:val="heading 4"/>
    <w:basedOn w:val="Normal"/>
    <w:next w:val="Normal"/>
    <w:uiPriority w:val="9"/>
    <w:unhideWhenUsed/>
    <w:qFormat/>
    <w:pPr>
      <w:keepNext/>
      <w:keepLines/>
      <w:spacing w:after="120" w:line="240" w:lineRule="auto"/>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b/>
      <w:color w:val="006600"/>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BD0A5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BD0A5E"/>
    <w:rPr>
      <w:rFonts w:asciiTheme="minorHAnsi" w:eastAsiaTheme="minorHAnsi" w:hAnsiTheme="minorHAnsi" w:cstheme="minorBidi"/>
      <w:sz w:val="20"/>
      <w:szCs w:val="20"/>
      <w:lang w:val="en-ID"/>
    </w:rPr>
  </w:style>
  <w:style w:type="character" w:styleId="FootnoteReference">
    <w:name w:val="footnote reference"/>
    <w:basedOn w:val="DefaultParagraphFont"/>
    <w:uiPriority w:val="99"/>
    <w:semiHidden/>
    <w:unhideWhenUsed/>
    <w:rsid w:val="00BD0A5E"/>
    <w:rPr>
      <w:vertAlign w:val="superscript"/>
    </w:rPr>
  </w:style>
  <w:style w:type="character" w:styleId="Hyperlink">
    <w:name w:val="Hyperlink"/>
    <w:basedOn w:val="DefaultParagraphFont"/>
    <w:uiPriority w:val="99"/>
    <w:unhideWhenUsed/>
    <w:rsid w:val="00BD0A5E"/>
    <w:rPr>
      <w:color w:val="0000FF" w:themeColor="hyperlink"/>
      <w:u w:val="single"/>
    </w:rPr>
  </w:style>
  <w:style w:type="paragraph" w:styleId="Bibliography">
    <w:name w:val="Bibliography"/>
    <w:basedOn w:val="Normal"/>
    <w:next w:val="Normal"/>
    <w:uiPriority w:val="37"/>
    <w:unhideWhenUsed/>
    <w:rsid w:val="00A1125D"/>
    <w:pPr>
      <w:spacing w:after="0" w:line="240" w:lineRule="auto"/>
      <w:ind w:left="720" w:hanging="720"/>
    </w:pPr>
  </w:style>
  <w:style w:type="paragraph" w:styleId="BalloonText">
    <w:name w:val="Balloon Text"/>
    <w:basedOn w:val="Normal"/>
    <w:link w:val="BalloonTextChar"/>
    <w:uiPriority w:val="99"/>
    <w:semiHidden/>
    <w:unhideWhenUsed/>
    <w:rsid w:val="00101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06A"/>
    <w:rPr>
      <w:rFonts w:ascii="Segoe UI" w:hAnsi="Segoe UI" w:cs="Segoe UI"/>
      <w:sz w:val="18"/>
      <w:szCs w:val="18"/>
    </w:rPr>
  </w:style>
  <w:style w:type="character" w:styleId="CommentReference">
    <w:name w:val="annotation reference"/>
    <w:basedOn w:val="DefaultParagraphFont"/>
    <w:uiPriority w:val="99"/>
    <w:semiHidden/>
    <w:unhideWhenUsed/>
    <w:rsid w:val="0010106A"/>
    <w:rPr>
      <w:sz w:val="16"/>
      <w:szCs w:val="16"/>
    </w:rPr>
  </w:style>
  <w:style w:type="paragraph" w:styleId="CommentText">
    <w:name w:val="annotation text"/>
    <w:basedOn w:val="Normal"/>
    <w:link w:val="CommentTextChar"/>
    <w:uiPriority w:val="99"/>
    <w:unhideWhenUsed/>
    <w:rsid w:val="0010106A"/>
    <w:pPr>
      <w:spacing w:line="240" w:lineRule="auto"/>
    </w:pPr>
    <w:rPr>
      <w:sz w:val="20"/>
      <w:szCs w:val="20"/>
    </w:rPr>
  </w:style>
  <w:style w:type="character" w:customStyle="1" w:styleId="CommentTextChar">
    <w:name w:val="Comment Text Char"/>
    <w:basedOn w:val="DefaultParagraphFont"/>
    <w:link w:val="CommentText"/>
    <w:uiPriority w:val="99"/>
    <w:rsid w:val="0010106A"/>
    <w:rPr>
      <w:sz w:val="20"/>
      <w:szCs w:val="20"/>
    </w:rPr>
  </w:style>
  <w:style w:type="paragraph" w:styleId="CommentSubject">
    <w:name w:val="annotation subject"/>
    <w:basedOn w:val="CommentText"/>
    <w:next w:val="CommentText"/>
    <w:link w:val="CommentSubjectChar"/>
    <w:uiPriority w:val="99"/>
    <w:semiHidden/>
    <w:unhideWhenUsed/>
    <w:rsid w:val="0010106A"/>
    <w:rPr>
      <w:b/>
      <w:bCs/>
    </w:rPr>
  </w:style>
  <w:style w:type="character" w:customStyle="1" w:styleId="CommentSubjectChar">
    <w:name w:val="Comment Subject Char"/>
    <w:basedOn w:val="CommentTextChar"/>
    <w:link w:val="CommentSubject"/>
    <w:uiPriority w:val="99"/>
    <w:semiHidden/>
    <w:rsid w:val="001010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3103">
      <w:bodyDiv w:val="1"/>
      <w:marLeft w:val="0"/>
      <w:marRight w:val="0"/>
      <w:marTop w:val="0"/>
      <w:marBottom w:val="0"/>
      <w:divBdr>
        <w:top w:val="none" w:sz="0" w:space="0" w:color="auto"/>
        <w:left w:val="none" w:sz="0" w:space="0" w:color="auto"/>
        <w:bottom w:val="none" w:sz="0" w:space="0" w:color="auto"/>
        <w:right w:val="none" w:sz="0" w:space="0" w:color="auto"/>
      </w:divBdr>
    </w:div>
    <w:div w:id="534193565">
      <w:bodyDiv w:val="1"/>
      <w:marLeft w:val="0"/>
      <w:marRight w:val="0"/>
      <w:marTop w:val="0"/>
      <w:marBottom w:val="0"/>
      <w:divBdr>
        <w:top w:val="none" w:sz="0" w:space="0" w:color="auto"/>
        <w:left w:val="none" w:sz="0" w:space="0" w:color="auto"/>
        <w:bottom w:val="none" w:sz="0" w:space="0" w:color="auto"/>
        <w:right w:val="none" w:sz="0" w:space="0" w:color="auto"/>
      </w:divBdr>
    </w:div>
    <w:div w:id="1394890981">
      <w:bodyDiv w:val="1"/>
      <w:marLeft w:val="0"/>
      <w:marRight w:val="0"/>
      <w:marTop w:val="0"/>
      <w:marBottom w:val="0"/>
      <w:divBdr>
        <w:top w:val="none" w:sz="0" w:space="0" w:color="auto"/>
        <w:left w:val="none" w:sz="0" w:space="0" w:color="auto"/>
        <w:bottom w:val="none" w:sz="0" w:space="0" w:color="auto"/>
        <w:right w:val="none" w:sz="0" w:space="0" w:color="auto"/>
      </w:divBdr>
    </w:div>
    <w:div w:id="1570920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469F9C7-EBCA-458C-83BE-79BDE747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4783</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fhunmul1</cp:lastModifiedBy>
  <cp:revision>13</cp:revision>
  <dcterms:created xsi:type="dcterms:W3CDTF">2023-07-21T15:43:00Z</dcterms:created>
  <dcterms:modified xsi:type="dcterms:W3CDTF">2023-08-23T05:18:00Z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id="KUDNMux2"/&gt;&lt;style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GrammarlyDocumentId">
    <vt:lpwstr>dd82f1eede04b28d631f0030ce91b351cadc53f81cfb8096fa01e4900822b322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y fmtid="{D5CDD505-2E9C-101B-9397-08002B2CF9AE}" pid="25" name="Mendeley Document_1">
    <vt:lpwstr>True</vt:lpwstr>
  </property>
  <property fmtid="{D5CDD505-2E9C-101B-9397-08002B2CF9AE}" pid="26" name="Mendeley Citation Style_1">
    <vt:lpwstr>http://www.zotero.org/styles/chicago-fullnote-bibliography</vt:lpwstr>
  </property>
</Properties>
</file>